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spacing w:after="120"/>
        <w:jc w:val="center"/>
      </w:pPr>
      <w:r>
        <w:rPr>
          <w:rFonts w:ascii="微软雅黑" w:hAnsi="微软雅黑" w:eastAsia="微软雅黑"/>
          <w:b/>
          <w:color w:val="1F4E79"/>
          <w:sz w:val="44"/>
        </w:rPr>
        <w:t>气体放电与等离子体虚拟实验平台</w:t>
      </w:r>
    </w:p>
    <w:p>
      <w:pPr>
        <w:jc w:val="center"/>
      </w:pPr>
      <w:r>
        <w:rPr>
          <w:rFonts w:ascii="微软雅黑" w:hAnsi="微软雅黑" w:eastAsia="微软雅黑"/>
          <w:color w:val="444444"/>
          <w:sz w:val="32"/>
        </w:rPr>
        <w:t>左侧导航页面内容</w:t>
      </w:r>
    </w:p>
    <w:p>
      <w:pPr>
        <w:jc w:val="center"/>
      </w:pPr>
      <w:r>
        <w:drawing>
          <wp:inline xmlns:a="http://schemas.openxmlformats.org/drawingml/2006/main" xmlns:pic="http://schemas.openxmlformats.org/drawingml/2006/picture">
            <wp:extent cx="5580000" cy="3160547"/>
            <wp:docPr id="1" name="Picture 1"/>
            <wp:cNvGraphicFramePr>
              <a:graphicFrameLocks noChangeAspect="1"/>
            </wp:cNvGraphicFramePr>
            <a:graphic>
              <a:graphicData uri="http://schemas.openxmlformats.org/drawingml/2006/picture">
                <pic:pic>
                  <pic:nvPicPr>
                    <pic:cNvPr id="0" name="image1.png"/>
                    <pic:cNvPicPr/>
                  </pic:nvPicPr>
                  <pic:blipFill>
                    <a:blip r:embed="rId9"/>
                    <a:stretch>
                      <a:fillRect/>
                    </a:stretch>
                  </pic:blipFill>
                  <pic:spPr>
                    <a:xfrm>
                      <a:off x="0" y="0"/>
                      <a:ext cx="5580000" cy="3160547"/>
                    </a:xfrm>
                    <a:prstGeom prst="rect"/>
                  </pic:spPr>
                </pic:pic>
              </a:graphicData>
            </a:graphic>
          </wp:inline>
        </w:drawing>
      </w:r>
    </w:p>
    <w:p>
      <w:pPr>
        <w:spacing w:after="120"/>
        <w:jc w:val="center"/>
      </w:pPr>
      <w:r>
        <w:rPr>
          <w:rFonts w:ascii="微软雅黑" w:hAnsi="微软雅黑" w:eastAsia="微软雅黑"/>
          <w:color w:val="595959"/>
          <w:sz w:val="18"/>
        </w:rPr>
        <w:t>平台页面结构：左侧导航区与右侧内容区</w:t>
      </w:r>
    </w:p>
    <w:tbl>
      <w:tblPr>
        <w:tblStyle w:val="TableGrid"/>
        <w:tblW w:type="auto" w:w="0"/>
        <w:jc w:val="center"/>
        <w:tblLook w:firstColumn="1" w:firstRow="1" w:lastColumn="0" w:lastRow="0" w:noHBand="0" w:noVBand="1" w:val="04A0"/>
      </w:tblPr>
      <w:tblGrid>
        <w:gridCol w:w="1994"/>
        <w:gridCol w:w="1994"/>
        <w:gridCol w:w="1994"/>
        <w:gridCol w:w="1994"/>
        <w:gridCol w:w="1994"/>
      </w:tblGrid>
      <w:tr>
        <w:tc>
          <w:tcPr>
            <w:tcW w:type="dxa" w:w="1994"/>
            <w:shd w:fill="3EAF3F"/>
            <w:vAlign w:val="center"/>
          </w:tcPr>
          <w:p>
            <w:pPr>
              <w:jc w:val="center"/>
            </w:pPr>
            <w:r>
              <w:rPr>
                <w:rFonts w:ascii="微软雅黑" w:hAnsi="微软雅黑" w:eastAsia="微软雅黑"/>
                <w:sz w:val="18"/>
              </w:rPr>
            </w:r>
            <w:r>
              <w:rPr>
                <w:rFonts w:ascii="微软雅黑" w:hAnsi="微软雅黑" w:eastAsia="微软雅黑"/>
                <w:b/>
                <w:color w:val="FFFFFF"/>
                <w:sz w:val="18"/>
              </w:rPr>
              <w:t>实验简介</w:t>
            </w:r>
          </w:p>
        </w:tc>
        <w:tc>
          <w:tcPr>
            <w:tcW w:type="dxa" w:w="1994"/>
            <w:shd w:fill="3EAF3F"/>
            <w:vAlign w:val="center"/>
          </w:tcPr>
          <w:p>
            <w:pPr>
              <w:jc w:val="center"/>
            </w:pPr>
            <w:r>
              <w:rPr>
                <w:rFonts w:ascii="微软雅黑" w:hAnsi="微软雅黑" w:eastAsia="微软雅黑"/>
                <w:sz w:val="18"/>
              </w:rPr>
            </w:r>
            <w:r>
              <w:rPr>
                <w:rFonts w:ascii="微软雅黑" w:hAnsi="微软雅黑" w:eastAsia="微软雅黑"/>
                <w:b/>
                <w:color w:val="FFFFFF"/>
                <w:sz w:val="18"/>
              </w:rPr>
              <w:t>实验原理</w:t>
            </w:r>
          </w:p>
        </w:tc>
        <w:tc>
          <w:tcPr>
            <w:tcW w:type="dxa" w:w="1994"/>
            <w:shd w:fill="3EAF3F"/>
            <w:vAlign w:val="center"/>
          </w:tcPr>
          <w:p>
            <w:pPr>
              <w:jc w:val="center"/>
            </w:pPr>
            <w:r>
              <w:rPr>
                <w:rFonts w:ascii="微软雅黑" w:hAnsi="微软雅黑" w:eastAsia="微软雅黑"/>
                <w:sz w:val="18"/>
              </w:rPr>
            </w:r>
            <w:r>
              <w:rPr>
                <w:rFonts w:ascii="微软雅黑" w:hAnsi="微软雅黑" w:eastAsia="微软雅黑"/>
                <w:b/>
                <w:color w:val="FFFFFF"/>
                <w:sz w:val="18"/>
              </w:rPr>
              <w:t>实验内容</w:t>
            </w:r>
          </w:p>
        </w:tc>
        <w:tc>
          <w:tcPr>
            <w:tcW w:type="dxa" w:w="1994"/>
            <w:shd w:fill="3EAF3F"/>
            <w:vAlign w:val="center"/>
          </w:tcPr>
          <w:p>
            <w:pPr>
              <w:jc w:val="center"/>
            </w:pPr>
            <w:r>
              <w:rPr>
                <w:rFonts w:ascii="微软雅黑" w:hAnsi="微软雅黑" w:eastAsia="微软雅黑"/>
                <w:sz w:val="18"/>
              </w:rPr>
            </w:r>
            <w:r>
              <w:rPr>
                <w:rFonts w:ascii="微软雅黑" w:hAnsi="微软雅黑" w:eastAsia="微软雅黑"/>
                <w:b/>
                <w:color w:val="FFFFFF"/>
                <w:sz w:val="18"/>
              </w:rPr>
              <w:t>实验仪器</w:t>
            </w:r>
          </w:p>
        </w:tc>
        <w:tc>
          <w:tcPr>
            <w:tcW w:type="dxa" w:w="1994"/>
            <w:shd w:fill="3EAF3F"/>
            <w:vAlign w:val="center"/>
          </w:tcPr>
          <w:p>
            <w:pPr>
              <w:jc w:val="center"/>
            </w:pPr>
            <w:r>
              <w:rPr>
                <w:rFonts w:ascii="微软雅黑" w:hAnsi="微软雅黑" w:eastAsia="微软雅黑"/>
                <w:sz w:val="18"/>
              </w:rPr>
            </w:r>
            <w:r>
              <w:rPr>
                <w:rFonts w:ascii="微软雅黑" w:hAnsi="微软雅黑" w:eastAsia="微软雅黑"/>
                <w:b/>
                <w:color w:val="FFFFFF"/>
                <w:sz w:val="18"/>
              </w:rPr>
              <w:t>实验指导</w:t>
            </w:r>
          </w:p>
        </w:tc>
      </w:tr>
      <w:tr>
        <w:tc>
          <w:tcPr>
            <w:tcW w:type="dxa" w:w="1994"/>
            <w:shd w:fill="5B9BD5"/>
            <w:vAlign w:val="center"/>
          </w:tcPr>
          <w:p>
            <w:pPr>
              <w:jc w:val="center"/>
            </w:pPr>
            <w:r>
              <w:rPr>
                <w:rFonts w:ascii="微软雅黑" w:hAnsi="微软雅黑" w:eastAsia="微软雅黑"/>
                <w:sz w:val="18"/>
              </w:rPr>
            </w:r>
            <w:r>
              <w:rPr>
                <w:rFonts w:ascii="微软雅黑" w:hAnsi="微软雅黑" w:eastAsia="微软雅黑"/>
                <w:b/>
                <w:color w:val="FFFFFF"/>
                <w:sz w:val="18"/>
              </w:rPr>
              <w:t>在线演示</w:t>
            </w:r>
          </w:p>
        </w:tc>
        <w:tc>
          <w:tcPr>
            <w:tcW w:type="dxa" w:w="1994"/>
            <w:shd w:fill="5B9BD5"/>
            <w:vAlign w:val="center"/>
          </w:tcPr>
          <w:p>
            <w:pPr>
              <w:jc w:val="center"/>
            </w:pPr>
            <w:r>
              <w:rPr>
                <w:rFonts w:ascii="微软雅黑" w:hAnsi="微软雅黑" w:eastAsia="微软雅黑"/>
                <w:sz w:val="18"/>
              </w:rPr>
            </w:r>
            <w:r>
              <w:rPr>
                <w:rFonts w:ascii="微软雅黑" w:hAnsi="微软雅黑" w:eastAsia="微软雅黑"/>
                <w:b/>
                <w:color w:val="FFFFFF"/>
                <w:sz w:val="18"/>
              </w:rPr>
              <w:t>实验指导书下载</w:t>
            </w:r>
          </w:p>
        </w:tc>
        <w:tc>
          <w:tcPr>
            <w:tcW w:type="dxa" w:w="1994"/>
            <w:shd w:fill="5B9BD5"/>
            <w:vAlign w:val="center"/>
          </w:tcPr>
          <w:p>
            <w:pPr>
              <w:jc w:val="center"/>
            </w:pPr>
            <w:r>
              <w:rPr>
                <w:rFonts w:ascii="微软雅黑" w:hAnsi="微软雅黑" w:eastAsia="微软雅黑"/>
                <w:sz w:val="18"/>
              </w:rPr>
            </w:r>
            <w:r>
              <w:rPr>
                <w:rFonts w:ascii="微软雅黑" w:hAnsi="微软雅黑" w:eastAsia="微软雅黑"/>
                <w:b/>
                <w:color w:val="FFFFFF"/>
                <w:sz w:val="18"/>
              </w:rPr>
              <w:t>开始实验</w:t>
            </w:r>
          </w:p>
        </w:tc>
        <w:tc>
          <w:tcPr>
            <w:tcW w:type="dxa" w:w="1994"/>
            <w:shd w:fill="5B9BD5"/>
            <w:vAlign w:val="center"/>
          </w:tcPr>
          <w:p>
            <w:pPr>
              <w:jc w:val="center"/>
            </w:pPr>
            <w:r>
              <w:rPr>
                <w:rFonts w:ascii="微软雅黑" w:hAnsi="微软雅黑" w:eastAsia="微软雅黑"/>
                <w:sz w:val="18"/>
              </w:rPr>
            </w:r>
            <w:r>
              <w:rPr>
                <w:rFonts w:ascii="微软雅黑" w:hAnsi="微软雅黑" w:eastAsia="微软雅黑"/>
                <w:b/>
                <w:color w:val="FFFFFF"/>
                <w:sz w:val="18"/>
              </w:rPr>
              <w:t>实验报告</w:t>
            </w:r>
          </w:p>
        </w:tc>
        <w:tc>
          <w:tcPr>
            <w:tcW w:type="dxa" w:w="1994"/>
            <w:shd w:fill="5B9BD5"/>
            <w:vAlign w:val="center"/>
          </w:tcPr>
          <w:p>
            <w:pPr>
              <w:jc w:val="center"/>
            </w:pPr>
            <w:r>
              <w:rPr>
                <w:rFonts w:ascii="微软雅黑" w:hAnsi="微软雅黑" w:eastAsia="微软雅黑"/>
                <w:sz w:val="18"/>
              </w:rPr>
            </w:r>
            <w:r>
              <w:rPr>
                <w:rFonts w:ascii="微软雅黑" w:hAnsi="微软雅黑" w:eastAsia="微软雅黑"/>
                <w:b/>
                <w:color w:val="FFFFFF"/>
                <w:sz w:val="18"/>
              </w:rPr>
              <w:t>教学评价</w:t>
            </w:r>
          </w:p>
        </w:tc>
      </w:tr>
    </w:tbl>
    <w:p>
      <w:r>
        <w:br w:type="page"/>
      </w:r>
    </w:p>
    <w:p>
      <w:pPr>
        <w:pStyle w:val="Heading1"/>
      </w:pPr>
      <w:r>
        <w:t>一、实验简介</w:t>
      </w:r>
    </w:p>
    <w:p>
      <w:pPr>
        <w:spacing w:line="300" w:lineRule="auto" w:after="120"/>
        <w:jc w:val="both"/>
      </w:pPr>
      <w:r>
        <w:rPr>
          <w:rFonts w:ascii="微软雅黑" w:hAnsi="微软雅黑" w:eastAsia="微软雅黑"/>
          <w:sz w:val="21"/>
        </w:rPr>
        <w:t>气体放电与等离子体虚拟实验平台围绕低压气体放电与等离子体诊断实验构建。平台以真实气体放电与等离子实验仪为原型，将真空腔体、电极间距调节、高压电源、气压控制、双探针测量和数据分析模块整合到浏览器端三维场景中。学生在虚拟环境中调节极板间距、气压、电压、探针高度和探针电压，观察电晕、辉光、火花和弧光等典型放电现象，并同步读取理论击穿电压、环境修正电压、模拟实际电压、场强、电流和功率等物理量。</w:t>
      </w:r>
    </w:p>
    <w:p>
      <w:pPr>
        <w:spacing w:line="300" w:lineRule="auto" w:after="120"/>
        <w:jc w:val="both"/>
      </w:pPr>
      <w:r>
        <w:rPr>
          <w:rFonts w:ascii="微软雅黑" w:hAnsi="微软雅黑" w:eastAsia="微软雅黑"/>
          <w:sz w:val="21"/>
        </w:rPr>
        <w:t>平台服务于真实实验前的认知建构、课堂中的演示讲解和实验后的数据复盘。其核心价值在于把高压危险、瞬态现象和多参数耦合问题转化为可重复、可对比、可量化的学习过程，使学生从“观察发光现象”进一步过渡到“理解放电机理、读取物理量、分析实验曲线”。</w:t>
      </w:r>
    </w:p>
    <w:tbl>
      <w:tblPr>
        <w:tblStyle w:val="TableGrid"/>
        <w:tblW w:type="auto" w:w="0"/>
        <w:jc w:val="center"/>
        <w:tblLook w:firstColumn="1" w:firstRow="1" w:lastColumn="0" w:lastRow="0" w:noHBand="0" w:noVBand="1" w:val="04A0"/>
      </w:tblPr>
      <w:tblGrid>
        <w:gridCol w:w="3324"/>
        <w:gridCol w:w="3324"/>
        <w:gridCol w:w="3324"/>
      </w:tblGrid>
      <w:tr>
        <w:tc>
          <w:tcPr>
            <w:tcW w:type="dxa" w:w="3324"/>
            <w:shd w:fill="EAF3F8"/>
            <w:vAlign w:val="center"/>
          </w:tcPr>
          <w:p>
            <w:pPr>
              <w:jc w:val="center"/>
            </w:pPr>
            <w:r>
              <w:rPr>
                <w:rFonts w:ascii="微软雅黑" w:hAnsi="微软雅黑" w:eastAsia="微软雅黑"/>
                <w:sz w:val="18"/>
              </w:rPr>
            </w:r>
            <w:r>
              <w:rPr>
                <w:rFonts w:ascii="微软雅黑" w:hAnsi="微软雅黑" w:eastAsia="微软雅黑"/>
                <w:b/>
                <w:color w:val="1F4E79"/>
                <w:sz w:val="18"/>
              </w:rPr>
              <w:t>可观察四种气体放电</w:t>
              <w:br/>
            </w:r>
            <w:r>
              <w:rPr>
                <w:rFonts w:ascii="微软雅黑" w:hAnsi="微软雅黑" w:eastAsia="微软雅黑"/>
                <w:sz w:val="18"/>
              </w:rPr>
              <w:t>电晕、辉光、火花、弧光在不同电压、气压和电极条件下呈现不同形态。</w:t>
            </w:r>
          </w:p>
        </w:tc>
        <w:tc>
          <w:tcPr>
            <w:tcW w:type="dxa" w:w="3324"/>
            <w:shd w:fill="EAF3F8"/>
            <w:vAlign w:val="center"/>
          </w:tcPr>
          <w:p>
            <w:pPr>
              <w:jc w:val="center"/>
            </w:pPr>
            <w:r>
              <w:rPr>
                <w:rFonts w:ascii="微软雅黑" w:hAnsi="微软雅黑" w:eastAsia="微软雅黑"/>
                <w:sz w:val="18"/>
              </w:rPr>
            </w:r>
            <w:r>
              <w:rPr>
                <w:rFonts w:ascii="微软雅黑" w:hAnsi="微软雅黑" w:eastAsia="微软雅黑"/>
                <w:b/>
                <w:color w:val="1F4E79"/>
                <w:sz w:val="18"/>
              </w:rPr>
              <w:t>可验证帕邢定律</w:t>
              <w:br/>
            </w:r>
            <w:r>
              <w:rPr>
                <w:rFonts w:ascii="微软雅黑" w:hAnsi="微软雅黑" w:eastAsia="微软雅黑"/>
                <w:sz w:val="18"/>
              </w:rPr>
              <w:t>通过 p、d、Ub 数据建立 Ub-pd 曲线，呈现击穿电压先下降后上升的规律。</w:t>
            </w:r>
          </w:p>
        </w:tc>
        <w:tc>
          <w:tcPr>
            <w:tcW w:type="dxa" w:w="3324"/>
            <w:shd w:fill="EAF3F8"/>
            <w:vAlign w:val="center"/>
          </w:tcPr>
          <w:p>
            <w:pPr>
              <w:jc w:val="center"/>
            </w:pPr>
            <w:r>
              <w:rPr>
                <w:rFonts w:ascii="微软雅黑" w:hAnsi="微软雅黑" w:eastAsia="微软雅黑"/>
                <w:sz w:val="18"/>
              </w:rPr>
            </w:r>
            <w:r>
              <w:rPr>
                <w:rFonts w:ascii="微软雅黑" w:hAnsi="微软雅黑" w:eastAsia="微软雅黑"/>
                <w:b/>
                <w:color w:val="1F4E79"/>
                <w:sz w:val="18"/>
              </w:rPr>
              <w:t>可测等离子体参数</w:t>
              <w:br/>
            </w:r>
            <w:r>
              <w:rPr>
                <w:rFonts w:ascii="微软雅黑" w:hAnsi="微软雅黑" w:eastAsia="微软雅黑"/>
                <w:sz w:val="18"/>
              </w:rPr>
              <w:t>通过朗缪尔双探针 I-V 曲线提取电子温度 Te 与电子密度 ne。</w:t>
            </w:r>
          </w:p>
        </w:tc>
      </w:tr>
    </w:tbl>
    <w:p>
      <w:pPr>
        <w:pStyle w:val="Heading2"/>
      </w:pPr>
      <w:r>
        <w:t>学习目标</w:t>
      </w:r>
    </w:p>
    <w:p>
      <w:pPr>
        <w:pStyle w:val="ListBullet"/>
        <w:spacing w:line="276" w:lineRule="auto" w:after="60"/>
      </w:pPr>
      <w:r>
        <w:rPr>
          <w:rFonts w:ascii="微软雅黑" w:hAnsi="微软雅黑" w:eastAsia="微软雅黑"/>
          <w:sz w:val="21"/>
        </w:rPr>
        <w:t>理解低压气体从绝缘状态转变为导电状态的基本条件。</w:t>
      </w:r>
    </w:p>
    <w:p>
      <w:pPr>
        <w:pStyle w:val="ListBullet"/>
        <w:spacing w:line="276" w:lineRule="auto" w:after="60"/>
      </w:pPr>
      <w:r>
        <w:rPr>
          <w:rFonts w:ascii="微软雅黑" w:hAnsi="微软雅黑" w:eastAsia="微软雅黑"/>
          <w:sz w:val="21"/>
        </w:rPr>
        <w:t>认识电离、电子雪崩、流柱发展、击穿和放电通道形成过程。</w:t>
      </w:r>
    </w:p>
    <w:p>
      <w:pPr>
        <w:pStyle w:val="ListBullet"/>
        <w:spacing w:line="276" w:lineRule="auto" w:after="60"/>
      </w:pPr>
      <w:r>
        <w:rPr>
          <w:rFonts w:ascii="微软雅黑" w:hAnsi="微软雅黑" w:eastAsia="微软雅黑"/>
          <w:sz w:val="21"/>
        </w:rPr>
        <w:t>掌握气压 p、极间距 d 与击穿电压 Ub 的关系。</w:t>
      </w:r>
    </w:p>
    <w:p>
      <w:pPr>
        <w:pStyle w:val="ListBullet"/>
        <w:spacing w:line="276" w:lineRule="auto" w:after="60"/>
      </w:pPr>
      <w:r>
        <w:rPr>
          <w:rFonts w:ascii="微软雅黑" w:hAnsi="微软雅黑" w:eastAsia="微软雅黑"/>
          <w:sz w:val="21"/>
        </w:rPr>
        <w:t>区分电晕、辉光、火花、弧光四类放电现象。</w:t>
      </w:r>
    </w:p>
    <w:p>
      <w:pPr>
        <w:pStyle w:val="ListBullet"/>
        <w:spacing w:line="276" w:lineRule="auto" w:after="60"/>
      </w:pPr>
      <w:r>
        <w:rPr>
          <w:rFonts w:ascii="微软雅黑" w:hAnsi="微软雅黑" w:eastAsia="微软雅黑"/>
          <w:sz w:val="21"/>
        </w:rPr>
        <w:t>利用 I-V 曲线认识电子温度和电子密度的诊断过程。</w:t>
      </w:r>
    </w:p>
    <w:p>
      <w:pPr>
        <w:pStyle w:val="Heading1"/>
      </w:pPr>
      <w:r>
        <w:t>二、实验原理</w:t>
      </w:r>
    </w:p>
    <w:p>
      <w:pPr>
        <w:pStyle w:val="Heading2"/>
      </w:pPr>
      <w:r>
        <w:t>2.1 气体击穿与放电形成</w:t>
      </w:r>
    </w:p>
    <w:p>
      <w:pPr>
        <w:spacing w:line="300" w:lineRule="auto" w:after="120"/>
        <w:jc w:val="both"/>
      </w:pPr>
      <w:r>
        <w:rPr>
          <w:rFonts w:ascii="微软雅黑" w:hAnsi="微软雅黑" w:eastAsia="微软雅黑"/>
          <w:sz w:val="21"/>
        </w:rPr>
        <w:t>低压气体在外加电场作用下并非始终保持绝缘状态。气体中少量自由电子获得电场能量后，与中性粒子发生非弹性碰撞；当电子能量达到电离阈值时，碰撞会产生新的电子和正离子。新电子继续被电场加速并引发后续碰撞，电荷数量呈级联增长，形成电子雪崩。电子雪崩与二次电子发射、光电离和空间电荷效应共同作用后，放电通道逐渐形成，气体由弱导电状态发展为明显放电状态。</w:t>
      </w:r>
    </w:p>
    <w:p>
      <w:pPr>
        <w:pStyle w:val="ListBullet"/>
        <w:spacing w:line="276" w:lineRule="auto" w:after="60"/>
      </w:pPr>
      <w:r>
        <w:rPr>
          <w:rFonts w:ascii="微软雅黑" w:hAnsi="微软雅黑" w:eastAsia="微软雅黑"/>
          <w:sz w:val="21"/>
        </w:rPr>
        <w:t>电压决定电子从电场中获得能量的能力。</w:t>
      </w:r>
    </w:p>
    <w:p>
      <w:pPr>
        <w:pStyle w:val="ListBullet"/>
        <w:spacing w:line="276" w:lineRule="auto" w:after="60"/>
      </w:pPr>
      <w:r>
        <w:rPr>
          <w:rFonts w:ascii="微软雅黑" w:hAnsi="微软雅黑" w:eastAsia="微软雅黑"/>
          <w:sz w:val="21"/>
        </w:rPr>
        <w:t>极间距影响平均电场强度 E=U/d 与电子加速路径。</w:t>
      </w:r>
    </w:p>
    <w:p>
      <w:pPr>
        <w:pStyle w:val="ListBullet"/>
        <w:spacing w:line="276" w:lineRule="auto" w:after="60"/>
      </w:pPr>
      <w:r>
        <w:rPr>
          <w:rFonts w:ascii="微软雅黑" w:hAnsi="微软雅黑" w:eastAsia="微软雅黑"/>
          <w:sz w:val="21"/>
        </w:rPr>
        <w:t>气压改变电子平均自由程和单位路径碰撞次数。</w:t>
      </w:r>
    </w:p>
    <w:p>
      <w:pPr>
        <w:pStyle w:val="ListBullet"/>
        <w:spacing w:line="276" w:lineRule="auto" w:after="60"/>
      </w:pPr>
      <w:r>
        <w:rPr>
          <w:rFonts w:ascii="微软雅黑" w:hAnsi="微软雅黑" w:eastAsia="微软雅黑"/>
          <w:sz w:val="21"/>
        </w:rPr>
        <w:t>电极形状改变局部场强，球形、针状和边缘区域更容易出现局部场增强。</w:t>
      </w:r>
    </w:p>
    <w:p>
      <w:pPr>
        <w:jc w:val="center"/>
      </w:pPr>
      <w:r>
        <w:drawing>
          <wp:inline xmlns:a="http://schemas.openxmlformats.org/drawingml/2006/main" xmlns:pic="http://schemas.openxmlformats.org/drawingml/2006/picture">
            <wp:extent cx="4500000" cy="1625373"/>
            <wp:docPr id="2" name="Picture 2"/>
            <wp:cNvGraphicFramePr>
              <a:graphicFrameLocks noChangeAspect="1"/>
            </wp:cNvGraphicFramePr>
            <a:graphic>
              <a:graphicData uri="http://schemas.openxmlformats.org/drawingml/2006/picture">
                <pic:pic>
                  <pic:nvPicPr>
                    <pic:cNvPr id="0" name="image12.png"/>
                    <pic:cNvPicPr/>
                  </pic:nvPicPr>
                  <pic:blipFill>
                    <a:blip r:embed="rId10"/>
                    <a:stretch>
                      <a:fillRect/>
                    </a:stretch>
                  </pic:blipFill>
                  <pic:spPr>
                    <a:xfrm>
                      <a:off x="0" y="0"/>
                      <a:ext cx="4500000" cy="1625373"/>
                    </a:xfrm>
                    <a:prstGeom prst="rect"/>
                  </pic:spPr>
                </pic:pic>
              </a:graphicData>
            </a:graphic>
          </wp:inline>
        </w:drawing>
      </w:r>
    </w:p>
    <w:p>
      <w:pPr>
        <w:spacing w:after="120"/>
        <w:jc w:val="center"/>
      </w:pPr>
      <w:r>
        <w:rPr>
          <w:rFonts w:ascii="微软雅黑" w:hAnsi="微软雅黑" w:eastAsia="微软雅黑"/>
          <w:color w:val="595959"/>
          <w:sz w:val="18"/>
        </w:rPr>
        <w:t>辉光放电三维场景效果</w:t>
      </w:r>
    </w:p>
    <w:p>
      <w:pPr>
        <w:pStyle w:val="Heading2"/>
      </w:pPr>
      <w:r>
        <w:t>2.2 帕邢定律</w:t>
      </w:r>
    </w:p>
    <w:p>
      <w:pPr>
        <w:spacing w:line="300" w:lineRule="auto" w:after="120"/>
        <w:jc w:val="both"/>
      </w:pPr>
      <w:r>
        <w:rPr>
          <w:rFonts w:ascii="微软雅黑" w:hAnsi="微软雅黑" w:eastAsia="微软雅黑"/>
          <w:sz w:val="21"/>
        </w:rPr>
        <w:t>在近似均匀电场中，气体击穿电压 Ub 与气压 p 和极间距 d 的乘积 pd 密切相关。常用形式为：</w:t>
      </w:r>
    </w:p>
    <w:p>
      <w:pPr>
        <w:jc w:val="center"/>
      </w:pPr>
      <w:r>
        <w:rPr>
          <w:rFonts w:ascii="Cambria Math" w:hAnsi="Cambria Math" w:eastAsia="微软雅黑"/>
          <w:b/>
          <w:sz w:val="24"/>
        </w:rPr>
        <w:t>Ub = Bpd / { ln(Apd) - ln[ ln(1 + 1/γ) ] }</w:t>
      </w:r>
    </w:p>
    <w:p>
      <w:pPr>
        <w:spacing w:line="300" w:lineRule="auto" w:after="120"/>
        <w:jc w:val="both"/>
      </w:pPr>
      <w:r>
        <w:rPr>
          <w:rFonts w:ascii="微软雅黑" w:hAnsi="微软雅黑" w:eastAsia="微软雅黑"/>
          <w:sz w:val="21"/>
        </w:rPr>
        <w:t>式中 A、B 为与气体种类相关的常数，γ 为二次电子发射系数。pd 较小时，电子碰撞次数不足，难以形成持续电离；pd 较大时，电子在两次碰撞之间获得的能量不足，击穿电压同样升高。因此帕邢曲线呈现先下降后上升的特征，并存在最小击穿电压。</w:t>
      </w:r>
    </w:p>
    <w:p>
      <w:pPr>
        <w:jc w:val="center"/>
      </w:pPr>
      <w:r>
        <w:drawing>
          <wp:inline xmlns:a="http://schemas.openxmlformats.org/drawingml/2006/main" xmlns:pic="http://schemas.openxmlformats.org/drawingml/2006/picture">
            <wp:extent cx="4140000" cy="2590181"/>
            <wp:docPr id="3" name="Picture 3"/>
            <wp:cNvGraphicFramePr>
              <a:graphicFrameLocks noChangeAspect="1"/>
            </wp:cNvGraphicFramePr>
            <a:graphic>
              <a:graphicData uri="http://schemas.openxmlformats.org/drawingml/2006/picture">
                <pic:pic>
                  <pic:nvPicPr>
                    <pic:cNvPr id="0" name="image3.jpeg"/>
                    <pic:cNvPicPr/>
                  </pic:nvPicPr>
                  <pic:blipFill>
                    <a:blip r:embed="rId11"/>
                    <a:stretch>
                      <a:fillRect/>
                    </a:stretch>
                  </pic:blipFill>
                  <pic:spPr>
                    <a:xfrm>
                      <a:off x="0" y="0"/>
                      <a:ext cx="4140000" cy="2590181"/>
                    </a:xfrm>
                    <a:prstGeom prst="rect"/>
                  </pic:spPr>
                </pic:pic>
              </a:graphicData>
            </a:graphic>
          </wp:inline>
        </w:drawing>
      </w:r>
    </w:p>
    <w:p>
      <w:pPr>
        <w:spacing w:after="120"/>
        <w:jc w:val="center"/>
      </w:pPr>
      <w:r>
        <w:rPr>
          <w:rFonts w:ascii="微软雅黑" w:hAnsi="微软雅黑" w:eastAsia="微软雅黑"/>
          <w:color w:val="595959"/>
          <w:sz w:val="18"/>
        </w:rPr>
        <w:t>平行板电极条件下的帕邢曲线关系</w:t>
      </w:r>
    </w:p>
    <w:p>
      <w:pPr>
        <w:pStyle w:val="Heading2"/>
      </w:pPr>
      <w:r>
        <w:t>2.3 四类典型放电现象</w:t>
      </w:r>
    </w:p>
    <w:tbl>
      <w:tblPr>
        <w:tblStyle w:val="TableGrid"/>
        <w:tblW w:type="auto" w:w="0"/>
        <w:jc w:val="center"/>
        <w:tblLook w:firstColumn="1" w:firstRow="1" w:lastColumn="0" w:lastRow="0" w:noHBand="0" w:noVBand="1" w:val="04A0"/>
      </w:tblPr>
      <w:tblGrid>
        <w:gridCol w:w="2493"/>
        <w:gridCol w:w="2493"/>
        <w:gridCol w:w="2493"/>
        <w:gridCol w:w="2493"/>
      </w:tblGrid>
      <w:tr>
        <w:trPr>
          <w:tblHeader w:val="true"/>
        </w:trPr>
        <w:tc>
          <w:tcPr>
            <w:tcW w:type="dxa" w:w="2493"/>
            <w:vAlign w:val="center"/>
            <w:shd w:fill="1F4E79"/>
          </w:tcPr>
          <w:p>
            <w:pPr>
              <w:jc w:val="center"/>
            </w:pPr>
            <w:r>
              <w:rPr>
                <w:rFonts w:ascii="微软雅黑" w:hAnsi="微软雅黑" w:eastAsia="微软雅黑"/>
                <w:b/>
                <w:color w:val="FFFFFF"/>
                <w:sz w:val="18"/>
              </w:rPr>
              <w:t>放电类型</w:t>
            </w:r>
          </w:p>
        </w:tc>
        <w:tc>
          <w:tcPr>
            <w:tcW w:type="dxa" w:w="2493"/>
            <w:vAlign w:val="center"/>
            <w:shd w:fill="1F4E79"/>
          </w:tcPr>
          <w:p>
            <w:pPr>
              <w:jc w:val="center"/>
            </w:pPr>
            <w:r>
              <w:rPr>
                <w:rFonts w:ascii="微软雅黑" w:hAnsi="微软雅黑" w:eastAsia="微软雅黑"/>
                <w:b/>
                <w:color w:val="FFFFFF"/>
                <w:sz w:val="18"/>
              </w:rPr>
              <w:t>形成条件</w:t>
            </w:r>
          </w:p>
        </w:tc>
        <w:tc>
          <w:tcPr>
            <w:tcW w:type="dxa" w:w="2493"/>
            <w:vAlign w:val="center"/>
            <w:shd w:fill="1F4E79"/>
          </w:tcPr>
          <w:p>
            <w:pPr>
              <w:jc w:val="center"/>
            </w:pPr>
            <w:r>
              <w:rPr>
                <w:rFonts w:ascii="微软雅黑" w:hAnsi="微软雅黑" w:eastAsia="微软雅黑"/>
                <w:b/>
                <w:color w:val="FFFFFF"/>
                <w:sz w:val="18"/>
              </w:rPr>
              <w:t>现象特征</w:t>
            </w:r>
          </w:p>
        </w:tc>
        <w:tc>
          <w:tcPr>
            <w:tcW w:type="dxa" w:w="2493"/>
            <w:vAlign w:val="center"/>
            <w:shd w:fill="1F4E79"/>
          </w:tcPr>
          <w:p>
            <w:pPr>
              <w:jc w:val="center"/>
            </w:pPr>
            <w:r>
              <w:rPr>
                <w:rFonts w:ascii="微软雅黑" w:hAnsi="微软雅黑" w:eastAsia="微软雅黑"/>
                <w:b/>
                <w:color w:val="FFFFFF"/>
                <w:sz w:val="18"/>
              </w:rPr>
              <w:t>物理含义</w:t>
            </w:r>
          </w:p>
        </w:tc>
      </w:tr>
      <w:tr>
        <w:tc>
          <w:tcPr>
            <w:tcW w:type="dxa" w:w="2493"/>
            <w:vAlign w:val="center"/>
          </w:tcPr>
          <w:p>
            <w:r>
              <w:rPr>
                <w:rFonts w:ascii="微软雅黑" w:hAnsi="微软雅黑" w:eastAsia="微软雅黑"/>
                <w:sz w:val="18"/>
              </w:rPr>
              <w:t>电晕放电</w:t>
            </w:r>
          </w:p>
        </w:tc>
        <w:tc>
          <w:tcPr>
            <w:tcW w:type="dxa" w:w="2493"/>
            <w:vAlign w:val="center"/>
          </w:tcPr>
          <w:p>
            <w:r>
              <w:rPr>
                <w:rFonts w:ascii="微软雅黑" w:hAnsi="微软雅黑" w:eastAsia="微软雅黑"/>
                <w:sz w:val="18"/>
              </w:rPr>
              <w:t>非均匀电场、局部场强较高</w:t>
            </w:r>
          </w:p>
        </w:tc>
        <w:tc>
          <w:tcPr>
            <w:tcW w:type="dxa" w:w="2493"/>
            <w:vAlign w:val="center"/>
          </w:tcPr>
          <w:p>
            <w:r>
              <w:rPr>
                <w:rFonts w:ascii="微软雅黑" w:hAnsi="微软雅黑" w:eastAsia="微软雅黑"/>
                <w:sz w:val="18"/>
              </w:rPr>
              <w:t>局部发光，间隙未完全贯通</w:t>
            </w:r>
          </w:p>
        </w:tc>
        <w:tc>
          <w:tcPr>
            <w:tcW w:type="dxa" w:w="2493"/>
            <w:vAlign w:val="center"/>
          </w:tcPr>
          <w:p>
            <w:r>
              <w:rPr>
                <w:rFonts w:ascii="微软雅黑" w:hAnsi="微软雅黑" w:eastAsia="微软雅黑"/>
                <w:sz w:val="18"/>
              </w:rPr>
              <w:t>局部电离增强，整体仍未形成强导电通道</w:t>
            </w:r>
          </w:p>
        </w:tc>
      </w:tr>
      <w:tr>
        <w:tc>
          <w:tcPr>
            <w:tcW w:type="dxa" w:w="2493"/>
            <w:vAlign w:val="center"/>
          </w:tcPr>
          <w:p>
            <w:r>
              <w:rPr>
                <w:rFonts w:ascii="微软雅黑" w:hAnsi="微软雅黑" w:eastAsia="微软雅黑"/>
                <w:sz w:val="18"/>
              </w:rPr>
              <w:t>辉光放电</w:t>
            </w:r>
          </w:p>
        </w:tc>
        <w:tc>
          <w:tcPr>
            <w:tcW w:type="dxa" w:w="2493"/>
            <w:vAlign w:val="center"/>
          </w:tcPr>
          <w:p>
            <w:r>
              <w:rPr>
                <w:rFonts w:ascii="微软雅黑" w:hAnsi="微软雅黑" w:eastAsia="微软雅黑"/>
                <w:sz w:val="18"/>
              </w:rPr>
              <w:t>低压、小电流、稳定供电</w:t>
            </w:r>
          </w:p>
        </w:tc>
        <w:tc>
          <w:tcPr>
            <w:tcW w:type="dxa" w:w="2493"/>
            <w:vAlign w:val="center"/>
          </w:tcPr>
          <w:p>
            <w:r>
              <w:rPr>
                <w:rFonts w:ascii="微软雅黑" w:hAnsi="微软雅黑" w:eastAsia="微软雅黑"/>
                <w:sz w:val="18"/>
              </w:rPr>
              <w:t>发光区域稳定，亮度连续</w:t>
            </w:r>
          </w:p>
        </w:tc>
        <w:tc>
          <w:tcPr>
            <w:tcW w:type="dxa" w:w="2493"/>
            <w:vAlign w:val="center"/>
          </w:tcPr>
          <w:p>
            <w:r>
              <w:rPr>
                <w:rFonts w:ascii="微软雅黑" w:hAnsi="微软雅黑" w:eastAsia="微软雅黑"/>
                <w:sz w:val="18"/>
              </w:rPr>
              <w:t>气体维持稳定电离与复合过程</w:t>
            </w:r>
          </w:p>
        </w:tc>
      </w:tr>
      <w:tr>
        <w:tc>
          <w:tcPr>
            <w:tcW w:type="dxa" w:w="2493"/>
            <w:vAlign w:val="center"/>
          </w:tcPr>
          <w:p>
            <w:r>
              <w:rPr>
                <w:rFonts w:ascii="微软雅黑" w:hAnsi="微软雅黑" w:eastAsia="微软雅黑"/>
                <w:sz w:val="18"/>
              </w:rPr>
              <w:t>火花放电</w:t>
            </w:r>
          </w:p>
        </w:tc>
        <w:tc>
          <w:tcPr>
            <w:tcW w:type="dxa" w:w="2493"/>
            <w:vAlign w:val="center"/>
          </w:tcPr>
          <w:p>
            <w:r>
              <w:rPr>
                <w:rFonts w:ascii="微软雅黑" w:hAnsi="微软雅黑" w:eastAsia="微软雅黑"/>
                <w:sz w:val="18"/>
              </w:rPr>
              <w:t>击穿瞬间形成导电通道</w:t>
            </w:r>
          </w:p>
        </w:tc>
        <w:tc>
          <w:tcPr>
            <w:tcW w:type="dxa" w:w="2493"/>
            <w:vAlign w:val="center"/>
          </w:tcPr>
          <w:p>
            <w:r>
              <w:rPr>
                <w:rFonts w:ascii="微软雅黑" w:hAnsi="微软雅黑" w:eastAsia="微软雅黑"/>
                <w:sz w:val="18"/>
              </w:rPr>
              <w:t>亮光突发，持续时间短</w:t>
            </w:r>
          </w:p>
        </w:tc>
        <w:tc>
          <w:tcPr>
            <w:tcW w:type="dxa" w:w="2493"/>
            <w:vAlign w:val="center"/>
          </w:tcPr>
          <w:p>
            <w:r>
              <w:rPr>
                <w:rFonts w:ascii="微软雅黑" w:hAnsi="微软雅黑" w:eastAsia="微软雅黑"/>
                <w:sz w:val="18"/>
              </w:rPr>
              <w:t>瞬态击穿和电流脉冲</w:t>
            </w:r>
          </w:p>
        </w:tc>
      </w:tr>
      <w:tr>
        <w:tc>
          <w:tcPr>
            <w:tcW w:type="dxa" w:w="2493"/>
            <w:vAlign w:val="center"/>
          </w:tcPr>
          <w:p>
            <w:r>
              <w:rPr>
                <w:rFonts w:ascii="微软雅黑" w:hAnsi="微软雅黑" w:eastAsia="微软雅黑"/>
                <w:sz w:val="18"/>
              </w:rPr>
              <w:t>弧光放电</w:t>
            </w:r>
          </w:p>
        </w:tc>
        <w:tc>
          <w:tcPr>
            <w:tcW w:type="dxa" w:w="2493"/>
            <w:vAlign w:val="center"/>
          </w:tcPr>
          <w:p>
            <w:r>
              <w:rPr>
                <w:rFonts w:ascii="微软雅黑" w:hAnsi="微软雅黑" w:eastAsia="微软雅黑"/>
                <w:sz w:val="18"/>
              </w:rPr>
              <w:t>击穿后电流较大且通道持续</w:t>
            </w:r>
          </w:p>
        </w:tc>
        <w:tc>
          <w:tcPr>
            <w:tcW w:type="dxa" w:w="2493"/>
            <w:vAlign w:val="center"/>
          </w:tcPr>
          <w:p>
            <w:r>
              <w:rPr>
                <w:rFonts w:ascii="微软雅黑" w:hAnsi="微软雅黑" w:eastAsia="微软雅黑"/>
                <w:sz w:val="18"/>
              </w:rPr>
              <w:t>亮度强，热效应明显</w:t>
            </w:r>
          </w:p>
        </w:tc>
        <w:tc>
          <w:tcPr>
            <w:tcW w:type="dxa" w:w="2493"/>
            <w:vAlign w:val="center"/>
          </w:tcPr>
          <w:p>
            <w:r>
              <w:rPr>
                <w:rFonts w:ascii="微软雅黑" w:hAnsi="微软雅黑" w:eastAsia="微软雅黑"/>
                <w:sz w:val="18"/>
              </w:rPr>
              <w:t>持续导电通道与电极热发射作用增强</w:t>
            </w:r>
          </w:p>
        </w:tc>
      </w:tr>
    </w:tbl>
    <w:p>
      <w:pPr>
        <w:pStyle w:val="Heading2"/>
      </w:pPr>
      <w:r>
        <w:t>2.4 朗缪尔双探针诊断</w:t>
      </w:r>
    </w:p>
    <w:p>
      <w:pPr>
        <w:spacing w:line="300" w:lineRule="auto" w:after="120"/>
        <w:jc w:val="both"/>
      </w:pPr>
      <w:r>
        <w:rPr>
          <w:rFonts w:ascii="微软雅黑" w:hAnsi="微软雅黑" w:eastAsia="微软雅黑"/>
          <w:sz w:val="21"/>
        </w:rPr>
        <w:t>朗缪尔双探针由两个形状、尺寸和材料一致的金属探针组成。实验中对两探针施加扫描电压 V，并记录探针回路电流 I，得到 I-V 特性曲线。低温等离子体条件下可用近似关系 I = Isat tanh(eV / 2kTe) 描述曲线形态，其中 Isat 为离子饱和电流，Te 为电子温度。通过曲线斜率、饱和电流和探针有效面积，可进一步估算电子温度 Te 与电子密度 ne。</w:t>
      </w:r>
    </w:p>
    <w:p>
      <w:pPr>
        <w:jc w:val="center"/>
      </w:pPr>
      <w:r>
        <w:drawing>
          <wp:inline xmlns:a="http://schemas.openxmlformats.org/drawingml/2006/main" xmlns:pic="http://schemas.openxmlformats.org/drawingml/2006/picture">
            <wp:extent cx="3780000" cy="2104773"/>
            <wp:docPr id="4" name="Picture 4"/>
            <wp:cNvGraphicFramePr>
              <a:graphicFrameLocks noChangeAspect="1"/>
            </wp:cNvGraphicFramePr>
            <a:graphic>
              <a:graphicData uri="http://schemas.openxmlformats.org/drawingml/2006/picture">
                <pic:pic>
                  <pic:nvPicPr>
                    <pic:cNvPr id="0" name="image5.png"/>
                    <pic:cNvPicPr/>
                  </pic:nvPicPr>
                  <pic:blipFill>
                    <a:blip r:embed="rId12"/>
                    <a:stretch>
                      <a:fillRect/>
                    </a:stretch>
                  </pic:blipFill>
                  <pic:spPr>
                    <a:xfrm>
                      <a:off x="0" y="0"/>
                      <a:ext cx="3780000" cy="2104773"/>
                    </a:xfrm>
                    <a:prstGeom prst="rect"/>
                  </pic:spPr>
                </pic:pic>
              </a:graphicData>
            </a:graphic>
          </wp:inline>
        </w:drawing>
      </w:r>
    </w:p>
    <w:p>
      <w:pPr>
        <w:spacing w:after="120"/>
        <w:jc w:val="center"/>
      </w:pPr>
      <w:r>
        <w:rPr>
          <w:rFonts w:ascii="微软雅黑" w:hAnsi="微软雅黑" w:eastAsia="微软雅黑"/>
          <w:color w:val="595959"/>
          <w:sz w:val="18"/>
        </w:rPr>
        <w:t>朗缪尔双探针电路与测量结构</w:t>
      </w:r>
    </w:p>
    <w:p>
      <w:pPr>
        <w:jc w:val="center"/>
      </w:pPr>
      <w:r>
        <w:drawing>
          <wp:inline xmlns:a="http://schemas.openxmlformats.org/drawingml/2006/main" xmlns:pic="http://schemas.openxmlformats.org/drawingml/2006/picture">
            <wp:extent cx="3780000" cy="2896752"/>
            <wp:docPr id="5" name="Picture 5"/>
            <wp:cNvGraphicFramePr>
              <a:graphicFrameLocks noChangeAspect="1"/>
            </wp:cNvGraphicFramePr>
            <a:graphic>
              <a:graphicData uri="http://schemas.openxmlformats.org/drawingml/2006/picture">
                <pic:pic>
                  <pic:nvPicPr>
                    <pic:cNvPr id="0" name="image8.png"/>
                    <pic:cNvPicPr/>
                  </pic:nvPicPr>
                  <pic:blipFill>
                    <a:blip r:embed="rId13"/>
                    <a:stretch>
                      <a:fillRect/>
                    </a:stretch>
                  </pic:blipFill>
                  <pic:spPr>
                    <a:xfrm>
                      <a:off x="0" y="0"/>
                      <a:ext cx="3780000" cy="2896752"/>
                    </a:xfrm>
                    <a:prstGeom prst="rect"/>
                  </pic:spPr>
                </pic:pic>
              </a:graphicData>
            </a:graphic>
          </wp:inline>
        </w:drawing>
      </w:r>
    </w:p>
    <w:p>
      <w:pPr>
        <w:spacing w:after="120"/>
        <w:jc w:val="center"/>
      </w:pPr>
      <w:r>
        <w:rPr>
          <w:rFonts w:ascii="微软雅黑" w:hAnsi="微软雅黑" w:eastAsia="微软雅黑"/>
          <w:color w:val="595959"/>
          <w:sz w:val="18"/>
        </w:rPr>
        <w:t>朗缪尔双探针 I-V 曲线</w:t>
      </w:r>
    </w:p>
    <w:p>
      <w:pPr>
        <w:pStyle w:val="Heading2"/>
      </w:pPr>
      <w:r>
        <w:t>2.5 环境修正与实测校准</w:t>
      </w:r>
    </w:p>
    <w:p>
      <w:pPr>
        <w:spacing w:line="300" w:lineRule="auto" w:after="120"/>
        <w:jc w:val="both"/>
      </w:pPr>
      <w:r>
        <w:rPr>
          <w:rFonts w:ascii="微软雅黑" w:hAnsi="微软雅黑" w:eastAsia="微软雅黑"/>
          <w:sz w:val="21"/>
        </w:rPr>
        <w:t>温度和湿度会改变空气密度、电子平均自由程和电离条件。平台将温度作为密度修正因子参与等效 pd 计算，将湿度作为空气工况下的二级修正项参与击穿电压估算；在理论模型之外，平台还可利用预置实测表和用户录入数据进行插值校准，使模拟结果更接近真实实验情境。</w:t>
      </w:r>
    </w:p>
    <w:p>
      <w:pPr>
        <w:pStyle w:val="Heading1"/>
      </w:pPr>
      <w:r>
        <w:t>三、实验内容</w:t>
      </w:r>
    </w:p>
    <w:p>
      <w:pPr>
        <w:spacing w:line="300" w:lineRule="auto" w:after="120"/>
        <w:jc w:val="both"/>
      </w:pPr>
      <w:r>
        <w:rPr>
          <w:rFonts w:ascii="微软雅黑" w:hAnsi="微软雅黑" w:eastAsia="微软雅黑"/>
          <w:sz w:val="21"/>
        </w:rPr>
        <w:t>虚拟实验由“放电现象观察、击穿电压测量、等离子体参数诊断、环境修正比较”四个层次构成。实验过程围绕参数改变、现象观察、数据记录和曲线分析展开。</w:t>
      </w:r>
    </w:p>
    <w:p>
      <w:pPr>
        <w:pStyle w:val="Heading2"/>
      </w:pPr>
      <w:r>
        <w:t>任务一：四类气体放电现象观察</w:t>
      </w:r>
    </w:p>
    <w:p>
      <w:pPr>
        <w:spacing w:line="276" w:lineRule="auto" w:after="60"/>
        <w:ind w:left="170" w:hanging="170"/>
      </w:pPr>
      <w:r>
        <w:rPr>
          <w:rFonts w:ascii="微软雅黑" w:hAnsi="微软雅黑" w:eastAsia="微软雅黑"/>
          <w:sz w:val="21"/>
        </w:rPr>
        <w:t>1. 固定电极类型和极间距。</w:t>
      </w:r>
    </w:p>
    <w:p>
      <w:pPr>
        <w:spacing w:line="276" w:lineRule="auto" w:after="60"/>
        <w:ind w:left="170" w:hanging="170"/>
      </w:pPr>
      <w:r>
        <w:rPr>
          <w:rFonts w:ascii="微软雅黑" w:hAnsi="微软雅黑" w:eastAsia="微软雅黑"/>
          <w:sz w:val="21"/>
        </w:rPr>
        <w:t>2. 逐步改变气压或电压。</w:t>
      </w:r>
    </w:p>
    <w:p>
      <w:pPr>
        <w:spacing w:line="276" w:lineRule="auto" w:after="60"/>
        <w:ind w:left="170" w:hanging="170"/>
      </w:pPr>
      <w:r>
        <w:rPr>
          <w:rFonts w:ascii="微软雅黑" w:hAnsi="微软雅黑" w:eastAsia="微软雅黑"/>
          <w:sz w:val="21"/>
        </w:rPr>
        <w:t>3. 记录电晕、辉光、火花、弧光出现时的参数。</w:t>
      </w:r>
    </w:p>
    <w:p>
      <w:pPr>
        <w:spacing w:line="276" w:lineRule="auto" w:after="60"/>
        <w:ind w:left="170" w:hanging="170"/>
      </w:pPr>
      <w:r>
        <w:rPr>
          <w:rFonts w:ascii="微软雅黑" w:hAnsi="微软雅黑" w:eastAsia="微软雅黑"/>
          <w:sz w:val="21"/>
        </w:rPr>
        <w:t>4. 比较放电是否贯通、发光是否稳定、亮度是否突变、电流和功率是否明显升高。</w:t>
      </w:r>
    </w:p>
    <w:p>
      <w:pPr>
        <w:pStyle w:val="Heading2"/>
      </w:pPr>
      <w:r>
        <w:t>任务二：帕邢定律验证</w:t>
      </w:r>
    </w:p>
    <w:p>
      <w:pPr>
        <w:spacing w:line="276" w:lineRule="auto" w:after="60"/>
        <w:ind w:left="170" w:hanging="170"/>
      </w:pPr>
      <w:r>
        <w:rPr>
          <w:rFonts w:ascii="微软雅黑" w:hAnsi="微软雅黑" w:eastAsia="微软雅黑"/>
          <w:sz w:val="21"/>
        </w:rPr>
        <w:t>1. 选择平行板电极。</w:t>
      </w:r>
    </w:p>
    <w:p>
      <w:pPr>
        <w:spacing w:line="276" w:lineRule="auto" w:after="60"/>
        <w:ind w:left="170" w:hanging="170"/>
      </w:pPr>
      <w:r>
        <w:rPr>
          <w:rFonts w:ascii="微软雅黑" w:hAnsi="微软雅黑" w:eastAsia="微软雅黑"/>
          <w:sz w:val="21"/>
        </w:rPr>
        <w:t>2. 设置多组 p-d 组合。</w:t>
      </w:r>
    </w:p>
    <w:p>
      <w:pPr>
        <w:spacing w:line="276" w:lineRule="auto" w:after="60"/>
        <w:ind w:left="170" w:hanging="170"/>
      </w:pPr>
      <w:r>
        <w:rPr>
          <w:rFonts w:ascii="微软雅黑" w:hAnsi="微软雅黑" w:eastAsia="微软雅黑"/>
          <w:sz w:val="21"/>
        </w:rPr>
        <w:t>3. 逐步调高电压并记录刚击穿时的 Ub。</w:t>
      </w:r>
    </w:p>
    <w:p>
      <w:pPr>
        <w:spacing w:line="276" w:lineRule="auto" w:after="60"/>
        <w:ind w:left="170" w:hanging="170"/>
      </w:pPr>
      <w:r>
        <w:rPr>
          <w:rFonts w:ascii="微软雅黑" w:hAnsi="微软雅黑" w:eastAsia="微软雅黑"/>
          <w:sz w:val="21"/>
        </w:rPr>
        <w:t>4. 自动计算 pd 并绘制 Ub-pd 曲线。</w:t>
      </w:r>
    </w:p>
    <w:p>
      <w:pPr>
        <w:spacing w:line="276" w:lineRule="auto" w:after="60"/>
        <w:ind w:left="170" w:hanging="170"/>
      </w:pPr>
      <w:r>
        <w:rPr>
          <w:rFonts w:ascii="微软雅黑" w:hAnsi="微软雅黑" w:eastAsia="微软雅黑"/>
          <w:sz w:val="21"/>
        </w:rPr>
        <w:t>5. 分析曲线极小值位置和误差来源。</w:t>
      </w:r>
    </w:p>
    <w:p>
      <w:pPr>
        <w:pStyle w:val="Heading2"/>
      </w:pPr>
      <w:r>
        <w:t>任务三：朗缪尔双探针实验</w:t>
      </w:r>
    </w:p>
    <w:p>
      <w:pPr>
        <w:spacing w:line="276" w:lineRule="auto" w:after="60"/>
        <w:ind w:left="170" w:hanging="170"/>
      </w:pPr>
      <w:r>
        <w:rPr>
          <w:rFonts w:ascii="微软雅黑" w:hAnsi="微软雅黑" w:eastAsia="微软雅黑"/>
          <w:sz w:val="21"/>
        </w:rPr>
        <w:t>1. 建立稳定辉光放电条件。</w:t>
      </w:r>
    </w:p>
    <w:p>
      <w:pPr>
        <w:spacing w:line="276" w:lineRule="auto" w:after="60"/>
        <w:ind w:left="170" w:hanging="170"/>
      </w:pPr>
      <w:r>
        <w:rPr>
          <w:rFonts w:ascii="微软雅黑" w:hAnsi="微软雅黑" w:eastAsia="微软雅黑"/>
          <w:sz w:val="21"/>
        </w:rPr>
        <w:t>2. 改变双探针电压并记录探针电流。</w:t>
      </w:r>
    </w:p>
    <w:p>
      <w:pPr>
        <w:spacing w:line="276" w:lineRule="auto" w:after="60"/>
        <w:ind w:left="170" w:hanging="170"/>
      </w:pPr>
      <w:r>
        <w:rPr>
          <w:rFonts w:ascii="微软雅黑" w:hAnsi="微软雅黑" w:eastAsia="微软雅黑"/>
          <w:sz w:val="21"/>
        </w:rPr>
        <w:t>3. 形成 I-V 曲线。</w:t>
      </w:r>
    </w:p>
    <w:p>
      <w:pPr>
        <w:spacing w:line="276" w:lineRule="auto" w:after="60"/>
        <w:ind w:left="170" w:hanging="170"/>
      </w:pPr>
      <w:r>
        <w:rPr>
          <w:rFonts w:ascii="微软雅黑" w:hAnsi="微软雅黑" w:eastAsia="微软雅黑"/>
          <w:sz w:val="21"/>
        </w:rPr>
        <w:t>4. 拟合得到电子温度 Te 和电子密度 ne。</w:t>
      </w:r>
    </w:p>
    <w:p>
      <w:pPr>
        <w:spacing w:line="276" w:lineRule="auto" w:after="60"/>
        <w:ind w:left="170" w:hanging="170"/>
      </w:pPr>
      <w:r>
        <w:rPr>
          <w:rFonts w:ascii="微软雅黑" w:hAnsi="微软雅黑" w:eastAsia="微软雅黑"/>
          <w:sz w:val="21"/>
        </w:rPr>
        <w:t>5. 比较探针高度、气压和放电电压对诊断结果的影响。</w:t>
      </w:r>
    </w:p>
    <w:p>
      <w:pPr>
        <w:pStyle w:val="Heading2"/>
      </w:pPr>
      <w:r>
        <w:t>任务四：环境修正与模型比较</w:t>
      </w:r>
    </w:p>
    <w:p>
      <w:pPr>
        <w:spacing w:line="276" w:lineRule="auto" w:after="60"/>
        <w:ind w:left="170" w:hanging="170"/>
      </w:pPr>
      <w:r>
        <w:rPr>
          <w:rFonts w:ascii="微软雅黑" w:hAnsi="微软雅黑" w:eastAsia="微软雅黑"/>
          <w:sz w:val="21"/>
        </w:rPr>
        <w:t>1. 读取或输入实验室温湿度。</w:t>
      </w:r>
    </w:p>
    <w:p>
      <w:pPr>
        <w:spacing w:line="276" w:lineRule="auto" w:after="60"/>
        <w:ind w:left="170" w:hanging="170"/>
      </w:pPr>
      <w:r>
        <w:rPr>
          <w:rFonts w:ascii="微软雅黑" w:hAnsi="微软雅黑" w:eastAsia="微软雅黑"/>
          <w:sz w:val="21"/>
        </w:rPr>
        <w:t>2. 比较标准理论击穿电压、环境修正击穿电压和模拟实际击穿电压。</w:t>
      </w:r>
    </w:p>
    <w:p>
      <w:pPr>
        <w:spacing w:line="276" w:lineRule="auto" w:after="60"/>
        <w:ind w:left="170" w:hanging="170"/>
      </w:pPr>
      <w:r>
        <w:rPr>
          <w:rFonts w:ascii="微软雅黑" w:hAnsi="微软雅黑" w:eastAsia="微软雅黑"/>
          <w:sz w:val="21"/>
        </w:rPr>
        <w:t>3. 分析温度、湿度、查表校准对结果的影响。</w:t>
      </w:r>
    </w:p>
    <w:p>
      <w:pPr>
        <w:jc w:val="center"/>
      </w:pPr>
      <w:r>
        <w:drawing>
          <wp:inline xmlns:a="http://schemas.openxmlformats.org/drawingml/2006/main" xmlns:pic="http://schemas.openxmlformats.org/drawingml/2006/picture">
            <wp:extent cx="4140000" cy="3595106"/>
            <wp:docPr id="6" name="Picture 6"/>
            <wp:cNvGraphicFramePr>
              <a:graphicFrameLocks noChangeAspect="1"/>
            </wp:cNvGraphicFramePr>
            <a:graphic>
              <a:graphicData uri="http://schemas.openxmlformats.org/drawingml/2006/picture">
                <pic:pic>
                  <pic:nvPicPr>
                    <pic:cNvPr id="0" name="image7.png"/>
                    <pic:cNvPicPr/>
                  </pic:nvPicPr>
                  <pic:blipFill>
                    <a:blip r:embed="rId14"/>
                    <a:stretch>
                      <a:fillRect/>
                    </a:stretch>
                  </pic:blipFill>
                  <pic:spPr>
                    <a:xfrm>
                      <a:off x="0" y="0"/>
                      <a:ext cx="4140000" cy="3595106"/>
                    </a:xfrm>
                    <a:prstGeom prst="rect"/>
                  </pic:spPr>
                </pic:pic>
              </a:graphicData>
            </a:graphic>
          </wp:inline>
        </w:drawing>
      </w:r>
    </w:p>
    <w:p>
      <w:pPr>
        <w:spacing w:after="120"/>
        <w:jc w:val="center"/>
      </w:pPr>
      <w:r>
        <w:rPr>
          <w:rFonts w:ascii="微软雅黑" w:hAnsi="微软雅黑" w:eastAsia="微软雅黑"/>
          <w:color w:val="595959"/>
          <w:sz w:val="18"/>
        </w:rPr>
        <w:t>击穿电压数据形成的 Ub-pd 曲线</w:t>
      </w:r>
    </w:p>
    <w:p>
      <w:pPr>
        <w:pStyle w:val="Heading1"/>
      </w:pPr>
      <w:r>
        <w:t>四、实验仪器</w:t>
      </w:r>
    </w:p>
    <w:p>
      <w:pPr>
        <w:spacing w:line="300" w:lineRule="auto" w:after="120"/>
        <w:jc w:val="both"/>
      </w:pPr>
      <w:r>
        <w:rPr>
          <w:rFonts w:ascii="微软雅黑" w:hAnsi="微软雅黑" w:eastAsia="微软雅黑"/>
          <w:sz w:val="21"/>
        </w:rPr>
        <w:t>虚拟平台对应的真实实验系统由真空腔体、高压电源、控制仪、真空泵、电极、双探针、电流测量与安全防护部件共同构成。虚拟模型将这些硬件抽象为可点击、可调节、可读数的三维交互对象。</w:t>
      </w:r>
    </w:p>
    <w:p>
      <w:pPr>
        <w:jc w:val="center"/>
      </w:pPr>
      <w:r>
        <w:drawing>
          <wp:inline xmlns:a="http://schemas.openxmlformats.org/drawingml/2006/main" xmlns:pic="http://schemas.openxmlformats.org/drawingml/2006/picture">
            <wp:extent cx="4500000" cy="1597402"/>
            <wp:docPr id="7" name="Picture 7"/>
            <wp:cNvGraphicFramePr>
              <a:graphicFrameLocks noChangeAspect="1"/>
            </wp:cNvGraphicFramePr>
            <a:graphic>
              <a:graphicData uri="http://schemas.openxmlformats.org/drawingml/2006/picture">
                <pic:pic>
                  <pic:nvPicPr>
                    <pic:cNvPr id="0" name="image9.png"/>
                    <pic:cNvPicPr/>
                  </pic:nvPicPr>
                  <pic:blipFill>
                    <a:blip r:embed="rId15"/>
                    <a:stretch>
                      <a:fillRect/>
                    </a:stretch>
                  </pic:blipFill>
                  <pic:spPr>
                    <a:xfrm>
                      <a:off x="0" y="0"/>
                      <a:ext cx="4500000" cy="1597402"/>
                    </a:xfrm>
                    <a:prstGeom prst="rect"/>
                  </pic:spPr>
                </pic:pic>
              </a:graphicData>
            </a:graphic>
          </wp:inline>
        </w:drawing>
      </w:r>
    </w:p>
    <w:p>
      <w:pPr>
        <w:spacing w:after="120"/>
        <w:jc w:val="center"/>
      </w:pPr>
      <w:r>
        <w:rPr>
          <w:rFonts w:ascii="微软雅黑" w:hAnsi="微软雅黑" w:eastAsia="微软雅黑"/>
          <w:color w:val="595959"/>
          <w:sz w:val="18"/>
        </w:rPr>
        <w:t>气体放电与等离子实验仪成套部件</w:t>
      </w:r>
    </w:p>
    <w:tbl>
      <w:tblPr>
        <w:tblStyle w:val="TableGrid"/>
        <w:tblW w:type="auto" w:w="0"/>
        <w:jc w:val="center"/>
        <w:tblLook w:firstColumn="1" w:firstRow="1" w:lastColumn="0" w:lastRow="0" w:noHBand="0" w:noVBand="1" w:val="04A0"/>
      </w:tblPr>
      <w:tblGrid>
        <w:gridCol w:w="3324"/>
        <w:gridCol w:w="3324"/>
        <w:gridCol w:w="3324"/>
      </w:tblGrid>
      <w:tr>
        <w:trPr>
          <w:tblHeader w:val="true"/>
        </w:trPr>
        <w:tc>
          <w:tcPr>
            <w:tcW w:type="dxa" w:w="3324"/>
            <w:vAlign w:val="center"/>
            <w:shd w:fill="1F4E79"/>
          </w:tcPr>
          <w:p>
            <w:pPr>
              <w:jc w:val="center"/>
            </w:pPr>
            <w:r>
              <w:rPr>
                <w:rFonts w:ascii="微软雅黑" w:hAnsi="微软雅黑" w:eastAsia="微软雅黑"/>
                <w:b/>
                <w:color w:val="FFFFFF"/>
                <w:sz w:val="18"/>
              </w:rPr>
              <w:t>真实部件</w:t>
            </w:r>
          </w:p>
        </w:tc>
        <w:tc>
          <w:tcPr>
            <w:tcW w:type="dxa" w:w="3324"/>
            <w:vAlign w:val="center"/>
            <w:shd w:fill="1F4E79"/>
          </w:tcPr>
          <w:p>
            <w:pPr>
              <w:jc w:val="center"/>
            </w:pPr>
            <w:r>
              <w:rPr>
                <w:rFonts w:ascii="微软雅黑" w:hAnsi="微软雅黑" w:eastAsia="微软雅黑"/>
                <w:b/>
                <w:color w:val="FFFFFF"/>
                <w:sz w:val="18"/>
              </w:rPr>
              <w:t>实验作用</w:t>
            </w:r>
          </w:p>
        </w:tc>
        <w:tc>
          <w:tcPr>
            <w:tcW w:type="dxa" w:w="3324"/>
            <w:vAlign w:val="center"/>
            <w:shd w:fill="1F4E79"/>
          </w:tcPr>
          <w:p>
            <w:pPr>
              <w:jc w:val="center"/>
            </w:pPr>
            <w:r>
              <w:rPr>
                <w:rFonts w:ascii="微软雅黑" w:hAnsi="微软雅黑" w:eastAsia="微软雅黑"/>
                <w:b/>
                <w:color w:val="FFFFFF"/>
                <w:sz w:val="18"/>
              </w:rPr>
              <w:t>虚拟平台对应功能</w:t>
            </w:r>
          </w:p>
        </w:tc>
      </w:tr>
      <w:tr>
        <w:tc>
          <w:tcPr>
            <w:tcW w:type="dxa" w:w="3324"/>
            <w:vAlign w:val="center"/>
          </w:tcPr>
          <w:p>
            <w:r>
              <w:rPr>
                <w:rFonts w:ascii="微软雅黑" w:hAnsi="微软雅黑" w:eastAsia="微软雅黑"/>
                <w:sz w:val="18"/>
              </w:rPr>
              <w:t>金属真空室</w:t>
            </w:r>
          </w:p>
        </w:tc>
        <w:tc>
          <w:tcPr>
            <w:tcW w:type="dxa" w:w="3324"/>
            <w:vAlign w:val="center"/>
          </w:tcPr>
          <w:p>
            <w:r>
              <w:rPr>
                <w:rFonts w:ascii="微软雅黑" w:hAnsi="微软雅黑" w:eastAsia="微软雅黑"/>
                <w:sz w:val="18"/>
              </w:rPr>
              <w:t>提供低压放电空间，安装电极和双探针。</w:t>
            </w:r>
          </w:p>
        </w:tc>
        <w:tc>
          <w:tcPr>
            <w:tcW w:type="dxa" w:w="3324"/>
            <w:vAlign w:val="center"/>
          </w:tcPr>
          <w:p>
            <w:r>
              <w:rPr>
                <w:rFonts w:ascii="微软雅黑" w:hAnsi="微软雅黑" w:eastAsia="微软雅黑"/>
                <w:sz w:val="18"/>
              </w:rPr>
              <w:t>三维腔体模型、气压读数、放电区域显示。</w:t>
            </w:r>
          </w:p>
        </w:tc>
      </w:tr>
      <w:tr>
        <w:tc>
          <w:tcPr>
            <w:tcW w:type="dxa" w:w="3324"/>
            <w:vAlign w:val="center"/>
          </w:tcPr>
          <w:p>
            <w:r>
              <w:rPr>
                <w:rFonts w:ascii="微软雅黑" w:hAnsi="微软雅黑" w:eastAsia="微软雅黑"/>
                <w:sz w:val="18"/>
              </w:rPr>
              <w:t>平行板/球形电极</w:t>
            </w:r>
          </w:p>
        </w:tc>
        <w:tc>
          <w:tcPr>
            <w:tcW w:type="dxa" w:w="3324"/>
            <w:vAlign w:val="center"/>
          </w:tcPr>
          <w:p>
            <w:r>
              <w:rPr>
                <w:rFonts w:ascii="微软雅黑" w:hAnsi="微软雅黑" w:eastAsia="微软雅黑"/>
                <w:sz w:val="18"/>
              </w:rPr>
              <w:t>形成不同电场分布，影响局部场强和击穿条件。</w:t>
            </w:r>
          </w:p>
        </w:tc>
        <w:tc>
          <w:tcPr>
            <w:tcW w:type="dxa" w:w="3324"/>
            <w:vAlign w:val="center"/>
          </w:tcPr>
          <w:p>
            <w:r>
              <w:rPr>
                <w:rFonts w:ascii="微软雅黑" w:hAnsi="微软雅黑" w:eastAsia="微软雅黑"/>
                <w:sz w:val="18"/>
              </w:rPr>
              <w:t>电极类型切换、极间距调节。</w:t>
            </w:r>
          </w:p>
        </w:tc>
      </w:tr>
      <w:tr>
        <w:tc>
          <w:tcPr>
            <w:tcW w:type="dxa" w:w="3324"/>
            <w:vAlign w:val="center"/>
          </w:tcPr>
          <w:p>
            <w:r>
              <w:rPr>
                <w:rFonts w:ascii="微软雅黑" w:hAnsi="微软雅黑" w:eastAsia="微软雅黑"/>
                <w:sz w:val="18"/>
              </w:rPr>
              <w:t>高压直流电源</w:t>
            </w:r>
          </w:p>
        </w:tc>
        <w:tc>
          <w:tcPr>
            <w:tcW w:type="dxa" w:w="3324"/>
            <w:vAlign w:val="center"/>
          </w:tcPr>
          <w:p>
            <w:r>
              <w:rPr>
                <w:rFonts w:ascii="微软雅黑" w:hAnsi="微软雅黑" w:eastAsia="微软雅黑"/>
                <w:sz w:val="18"/>
              </w:rPr>
              <w:t>为电晕、辉光、弧光和击穿实验供电。</w:t>
            </w:r>
          </w:p>
        </w:tc>
        <w:tc>
          <w:tcPr>
            <w:tcW w:type="dxa" w:w="3324"/>
            <w:vAlign w:val="center"/>
          </w:tcPr>
          <w:p>
            <w:r>
              <w:rPr>
                <w:rFonts w:ascii="微软雅黑" w:hAnsi="微软雅黑" w:eastAsia="微软雅黑"/>
                <w:sz w:val="18"/>
              </w:rPr>
              <w:t>两极板电压滑条、输出读数、击穿判定。</w:t>
            </w:r>
          </w:p>
        </w:tc>
      </w:tr>
      <w:tr>
        <w:tc>
          <w:tcPr>
            <w:tcW w:type="dxa" w:w="3324"/>
            <w:vAlign w:val="center"/>
          </w:tcPr>
          <w:p>
            <w:r>
              <w:rPr>
                <w:rFonts w:ascii="微软雅黑" w:hAnsi="微软雅黑" w:eastAsia="微软雅黑"/>
                <w:sz w:val="18"/>
              </w:rPr>
              <w:t>火花放电高压电源</w:t>
            </w:r>
          </w:p>
        </w:tc>
        <w:tc>
          <w:tcPr>
            <w:tcW w:type="dxa" w:w="3324"/>
            <w:vAlign w:val="center"/>
          </w:tcPr>
          <w:p>
            <w:r>
              <w:rPr>
                <w:rFonts w:ascii="微软雅黑" w:hAnsi="微软雅黑" w:eastAsia="微软雅黑"/>
                <w:sz w:val="18"/>
              </w:rPr>
              <w:t>承担火花放电瞬态演示。</w:t>
            </w:r>
          </w:p>
        </w:tc>
        <w:tc>
          <w:tcPr>
            <w:tcW w:type="dxa" w:w="3324"/>
            <w:vAlign w:val="center"/>
          </w:tcPr>
          <w:p>
            <w:r>
              <w:rPr>
                <w:rFonts w:ascii="微软雅黑" w:hAnsi="微软雅黑" w:eastAsia="微软雅黑"/>
                <w:sz w:val="18"/>
              </w:rPr>
              <w:t>火花放电状态与瞬态视觉效果。</w:t>
            </w:r>
          </w:p>
        </w:tc>
      </w:tr>
      <w:tr>
        <w:tc>
          <w:tcPr>
            <w:tcW w:type="dxa" w:w="3324"/>
            <w:vAlign w:val="center"/>
          </w:tcPr>
          <w:p>
            <w:r>
              <w:rPr>
                <w:rFonts w:ascii="微软雅黑" w:hAnsi="微软雅黑" w:eastAsia="微软雅黑"/>
                <w:sz w:val="18"/>
              </w:rPr>
              <w:t>限流电阻</w:t>
            </w:r>
          </w:p>
        </w:tc>
        <w:tc>
          <w:tcPr>
            <w:tcW w:type="dxa" w:w="3324"/>
            <w:vAlign w:val="center"/>
          </w:tcPr>
          <w:p>
            <w:r>
              <w:rPr>
                <w:rFonts w:ascii="微软雅黑" w:hAnsi="微软雅黑" w:eastAsia="微软雅黑"/>
                <w:sz w:val="18"/>
              </w:rPr>
              <w:t>限制放电回路电流，保护设备。</w:t>
            </w:r>
          </w:p>
        </w:tc>
        <w:tc>
          <w:tcPr>
            <w:tcW w:type="dxa" w:w="3324"/>
            <w:vAlign w:val="center"/>
          </w:tcPr>
          <w:p>
            <w:r>
              <w:rPr>
                <w:rFonts w:ascii="微软雅黑" w:hAnsi="微软雅黑" w:eastAsia="微软雅黑"/>
                <w:sz w:val="18"/>
              </w:rPr>
              <w:t>电流与功率估算模型。</w:t>
            </w:r>
          </w:p>
        </w:tc>
      </w:tr>
      <w:tr>
        <w:tc>
          <w:tcPr>
            <w:tcW w:type="dxa" w:w="3324"/>
            <w:vAlign w:val="center"/>
          </w:tcPr>
          <w:p>
            <w:r>
              <w:rPr>
                <w:rFonts w:ascii="微软雅黑" w:hAnsi="微软雅黑" w:eastAsia="微软雅黑"/>
                <w:sz w:val="18"/>
              </w:rPr>
              <w:t>真空泵与阀门</w:t>
            </w:r>
          </w:p>
        </w:tc>
        <w:tc>
          <w:tcPr>
            <w:tcW w:type="dxa" w:w="3324"/>
            <w:vAlign w:val="center"/>
          </w:tcPr>
          <w:p>
            <w:r>
              <w:rPr>
                <w:rFonts w:ascii="微软雅黑" w:hAnsi="微软雅黑" w:eastAsia="微软雅黑"/>
                <w:sz w:val="18"/>
              </w:rPr>
              <w:t>改变真空室气压。</w:t>
            </w:r>
          </w:p>
        </w:tc>
        <w:tc>
          <w:tcPr>
            <w:tcW w:type="dxa" w:w="3324"/>
            <w:vAlign w:val="center"/>
          </w:tcPr>
          <w:p>
            <w:r>
              <w:rPr>
                <w:rFonts w:ascii="微软雅黑" w:hAnsi="微软雅黑" w:eastAsia="微软雅黑"/>
                <w:sz w:val="18"/>
              </w:rPr>
              <w:t>气压调节、pd 计算、环境修正。</w:t>
            </w:r>
          </w:p>
        </w:tc>
      </w:tr>
      <w:tr>
        <w:tc>
          <w:tcPr>
            <w:tcW w:type="dxa" w:w="3324"/>
            <w:vAlign w:val="center"/>
          </w:tcPr>
          <w:p>
            <w:r>
              <w:rPr>
                <w:rFonts w:ascii="微软雅黑" w:hAnsi="微软雅黑" w:eastAsia="微软雅黑"/>
                <w:sz w:val="18"/>
              </w:rPr>
              <w:t>控制仪与步进电机</w:t>
            </w:r>
          </w:p>
        </w:tc>
        <w:tc>
          <w:tcPr>
            <w:tcW w:type="dxa" w:w="3324"/>
            <w:vAlign w:val="center"/>
          </w:tcPr>
          <w:p>
            <w:r>
              <w:rPr>
                <w:rFonts w:ascii="微软雅黑" w:hAnsi="微软雅黑" w:eastAsia="微软雅黑"/>
                <w:sz w:val="18"/>
              </w:rPr>
              <w:t>调节极板间距、探针左右位置和升降位置。</w:t>
            </w:r>
          </w:p>
        </w:tc>
        <w:tc>
          <w:tcPr>
            <w:tcW w:type="dxa" w:w="3324"/>
            <w:vAlign w:val="center"/>
          </w:tcPr>
          <w:p>
            <w:r>
              <w:rPr>
                <w:rFonts w:ascii="微软雅黑" w:hAnsi="微软雅黑" w:eastAsia="微软雅黑"/>
                <w:sz w:val="18"/>
              </w:rPr>
              <w:t>极板间距、探针高度与位置控制。</w:t>
            </w:r>
          </w:p>
        </w:tc>
      </w:tr>
      <w:tr>
        <w:tc>
          <w:tcPr>
            <w:tcW w:type="dxa" w:w="3324"/>
            <w:vAlign w:val="center"/>
          </w:tcPr>
          <w:p>
            <w:r>
              <w:rPr>
                <w:rFonts w:ascii="微软雅黑" w:hAnsi="微软雅黑" w:eastAsia="微软雅黑"/>
                <w:sz w:val="18"/>
              </w:rPr>
              <w:t>直流稳压电源与万用表</w:t>
            </w:r>
          </w:p>
        </w:tc>
        <w:tc>
          <w:tcPr>
            <w:tcW w:type="dxa" w:w="3324"/>
            <w:vAlign w:val="center"/>
          </w:tcPr>
          <w:p>
            <w:r>
              <w:rPr>
                <w:rFonts w:ascii="微软雅黑" w:hAnsi="微软雅黑" w:eastAsia="微软雅黑"/>
                <w:sz w:val="18"/>
              </w:rPr>
              <w:t>为双探针回路供电并读取电流。</w:t>
            </w:r>
          </w:p>
        </w:tc>
        <w:tc>
          <w:tcPr>
            <w:tcW w:type="dxa" w:w="3324"/>
            <w:vAlign w:val="center"/>
          </w:tcPr>
          <w:p>
            <w:r>
              <w:rPr>
                <w:rFonts w:ascii="微软雅黑" w:hAnsi="微软雅黑" w:eastAsia="微软雅黑"/>
                <w:sz w:val="18"/>
              </w:rPr>
              <w:t>探针电压、探针电流、I-V 曲线生成。</w:t>
            </w:r>
          </w:p>
        </w:tc>
      </w:tr>
      <w:tr>
        <w:tc>
          <w:tcPr>
            <w:tcW w:type="dxa" w:w="3324"/>
            <w:vAlign w:val="center"/>
          </w:tcPr>
          <w:p>
            <w:r>
              <w:rPr>
                <w:rFonts w:ascii="微软雅黑" w:hAnsi="微软雅黑" w:eastAsia="微软雅黑"/>
                <w:sz w:val="18"/>
              </w:rPr>
              <w:t>高压绝缘手套、接地线</w:t>
            </w:r>
          </w:p>
        </w:tc>
        <w:tc>
          <w:tcPr>
            <w:tcW w:type="dxa" w:w="3324"/>
            <w:vAlign w:val="center"/>
          </w:tcPr>
          <w:p>
            <w:r>
              <w:rPr>
                <w:rFonts w:ascii="微软雅黑" w:hAnsi="微软雅黑" w:eastAsia="微软雅黑"/>
                <w:sz w:val="18"/>
              </w:rPr>
              <w:t>降低触电风险并保证电气安全。</w:t>
            </w:r>
          </w:p>
        </w:tc>
        <w:tc>
          <w:tcPr>
            <w:tcW w:type="dxa" w:w="3324"/>
            <w:vAlign w:val="center"/>
          </w:tcPr>
          <w:p>
            <w:r>
              <w:rPr>
                <w:rFonts w:ascii="微软雅黑" w:hAnsi="微软雅黑" w:eastAsia="微软雅黑"/>
                <w:sz w:val="18"/>
              </w:rPr>
              <w:t>安全提示与操作流程约束。</w:t>
            </w:r>
          </w:p>
        </w:tc>
      </w:tr>
    </w:tbl>
    <w:p>
      <w:pPr>
        <w:pStyle w:val="Heading1"/>
      </w:pPr>
      <w:r>
        <w:t>五、实验指导</w:t>
      </w:r>
    </w:p>
    <w:p>
      <w:pPr>
        <w:pStyle w:val="Heading2"/>
      </w:pPr>
      <w:r>
        <w:t>5.1 安全边界</w:t>
      </w:r>
    </w:p>
    <w:p>
      <w:pPr>
        <w:pStyle w:val="ListBullet"/>
        <w:spacing w:line="276" w:lineRule="auto" w:after="60"/>
      </w:pPr>
      <w:r>
        <w:rPr>
          <w:rFonts w:ascii="微软雅黑" w:hAnsi="微软雅黑" w:eastAsia="微软雅黑"/>
          <w:sz w:val="21"/>
        </w:rPr>
        <w:t>真实高压设备通电状态下禁止接触电源线金属部分和电极。</w:t>
      </w:r>
    </w:p>
    <w:p>
      <w:pPr>
        <w:pStyle w:val="ListBullet"/>
        <w:spacing w:line="276" w:lineRule="auto" w:after="60"/>
      </w:pPr>
      <w:r>
        <w:rPr>
          <w:rFonts w:ascii="微软雅黑" w:hAnsi="微软雅黑" w:eastAsia="微软雅黑"/>
          <w:sz w:val="21"/>
        </w:rPr>
        <w:t>高压电源、稳压直流电源、真空泵和实验装置底板必须可靠接地。</w:t>
      </w:r>
    </w:p>
    <w:p>
      <w:pPr>
        <w:pStyle w:val="ListBullet"/>
        <w:spacing w:line="276" w:lineRule="auto" w:after="60"/>
      </w:pPr>
      <w:r>
        <w:rPr>
          <w:rFonts w:ascii="微软雅黑" w:hAnsi="微软雅黑" w:eastAsia="微软雅黑"/>
          <w:sz w:val="21"/>
        </w:rPr>
        <w:t>更换电极、调整电极、打开真空室上盖前必须断电并放气。</w:t>
      </w:r>
    </w:p>
    <w:p>
      <w:pPr>
        <w:pStyle w:val="ListBullet"/>
        <w:spacing w:line="276" w:lineRule="auto" w:after="60"/>
      </w:pPr>
      <w:r>
        <w:rPr>
          <w:rFonts w:ascii="微软雅黑" w:hAnsi="微软雅黑" w:eastAsia="微软雅黑"/>
          <w:sz w:val="21"/>
        </w:rPr>
        <w:t>放电后的电极温度较高，接触前必须完成冷却。</w:t>
      </w:r>
    </w:p>
    <w:p>
      <w:pPr>
        <w:pStyle w:val="ListBullet"/>
        <w:spacing w:line="276" w:lineRule="auto" w:after="60"/>
      </w:pPr>
      <w:r>
        <w:rPr>
          <w:rFonts w:ascii="微软雅黑" w:hAnsi="微软雅黑" w:eastAsia="微软雅黑"/>
          <w:sz w:val="21"/>
        </w:rPr>
        <w:t>双探针移动过程中不得与阳极极板直接接触。</w:t>
      </w:r>
    </w:p>
    <w:p>
      <w:pPr>
        <w:jc w:val="center"/>
      </w:pPr>
      <w:r>
        <w:drawing>
          <wp:inline xmlns:a="http://schemas.openxmlformats.org/drawingml/2006/main" xmlns:pic="http://schemas.openxmlformats.org/drawingml/2006/picture">
            <wp:extent cx="1260000" cy="1260000"/>
            <wp:docPr id="8" name="Picture 8"/>
            <wp:cNvGraphicFramePr>
              <a:graphicFrameLocks noChangeAspect="1"/>
            </wp:cNvGraphicFramePr>
            <a:graphic>
              <a:graphicData uri="http://schemas.openxmlformats.org/drawingml/2006/picture">
                <pic:pic>
                  <pic:nvPicPr>
                    <pic:cNvPr id="0" name="image11.png"/>
                    <pic:cNvPicPr/>
                  </pic:nvPicPr>
                  <pic:blipFill>
                    <a:blip r:embed="rId16"/>
                    <a:stretch>
                      <a:fillRect/>
                    </a:stretch>
                  </pic:blipFill>
                  <pic:spPr>
                    <a:xfrm>
                      <a:off x="0" y="0"/>
                      <a:ext cx="1260000" cy="1260000"/>
                    </a:xfrm>
                    <a:prstGeom prst="rect"/>
                  </pic:spPr>
                </pic:pic>
              </a:graphicData>
            </a:graphic>
          </wp:inline>
        </w:drawing>
      </w:r>
    </w:p>
    <w:p>
      <w:pPr>
        <w:spacing w:after="120"/>
        <w:jc w:val="center"/>
      </w:pPr>
      <w:r>
        <w:rPr>
          <w:rFonts w:ascii="微软雅黑" w:hAnsi="微软雅黑" w:eastAsia="微软雅黑"/>
          <w:color w:val="595959"/>
          <w:sz w:val="18"/>
        </w:rPr>
        <w:t>高压触电风险标识</w:t>
      </w:r>
    </w:p>
    <w:p>
      <w:pPr>
        <w:pStyle w:val="Heading2"/>
      </w:pPr>
      <w:r>
        <w:t>5.2 操作流程</w:t>
      </w:r>
    </w:p>
    <w:p>
      <w:pPr>
        <w:spacing w:line="276" w:lineRule="auto" w:after="60"/>
        <w:ind w:left="170" w:hanging="170"/>
      </w:pPr>
      <w:r>
        <w:rPr>
          <w:rFonts w:ascii="微软雅黑" w:hAnsi="微软雅黑" w:eastAsia="微软雅黑"/>
          <w:sz w:val="21"/>
        </w:rPr>
        <w:t>1. 进入平台首页，确认三维模型、参数面板和数据面板加载完成。</w:t>
      </w:r>
    </w:p>
    <w:p>
      <w:pPr>
        <w:spacing w:line="276" w:lineRule="auto" w:after="60"/>
        <w:ind w:left="170" w:hanging="170"/>
      </w:pPr>
      <w:r>
        <w:rPr>
          <w:rFonts w:ascii="微软雅黑" w:hAnsi="微软雅黑" w:eastAsia="微软雅黑"/>
          <w:sz w:val="21"/>
        </w:rPr>
        <w:t>2. 打开电极控制界面，选择电极类型并设置极板间距 d。</w:t>
      </w:r>
    </w:p>
    <w:p>
      <w:pPr>
        <w:spacing w:line="276" w:lineRule="auto" w:after="60"/>
        <w:ind w:left="170" w:hanging="170"/>
      </w:pPr>
      <w:r>
        <w:rPr>
          <w:rFonts w:ascii="微软雅黑" w:hAnsi="微软雅黑" w:eastAsia="微软雅黑"/>
          <w:sz w:val="21"/>
        </w:rPr>
        <w:t>3. 打开气压控制界面，设置气压 p，观察 pd 数值变化。</w:t>
      </w:r>
    </w:p>
    <w:p>
      <w:pPr>
        <w:spacing w:line="276" w:lineRule="auto" w:after="60"/>
        <w:ind w:left="170" w:hanging="170"/>
      </w:pPr>
      <w:r>
        <w:rPr>
          <w:rFonts w:ascii="微软雅黑" w:hAnsi="微软雅黑" w:eastAsia="微软雅黑"/>
          <w:sz w:val="21"/>
        </w:rPr>
        <w:t>4. 打开主电源控制界面，设置两极板电压 U。</w:t>
      </w:r>
    </w:p>
    <w:p>
      <w:pPr>
        <w:spacing w:line="276" w:lineRule="auto" w:after="60"/>
        <w:ind w:left="170" w:hanging="170"/>
      </w:pPr>
      <w:r>
        <w:rPr>
          <w:rFonts w:ascii="微软雅黑" w:hAnsi="微软雅黑" w:eastAsia="微软雅黑"/>
          <w:sz w:val="21"/>
        </w:rPr>
        <w:t>5. 启动放电，观察放电形态和实时数据变化。</w:t>
      </w:r>
    </w:p>
    <w:p>
      <w:pPr>
        <w:spacing w:line="276" w:lineRule="auto" w:after="60"/>
        <w:ind w:left="170" w:hanging="170"/>
      </w:pPr>
      <w:r>
        <w:rPr>
          <w:rFonts w:ascii="微软雅黑" w:hAnsi="微软雅黑" w:eastAsia="微软雅黑"/>
          <w:sz w:val="21"/>
        </w:rPr>
        <w:t>6. 进入帕邢定律验证模块或朗缪尔双探针模块，录入或生成实验数据。</w:t>
      </w:r>
    </w:p>
    <w:p>
      <w:pPr>
        <w:spacing w:line="276" w:lineRule="auto" w:after="60"/>
        <w:ind w:left="170" w:hanging="170"/>
      </w:pPr>
      <w:r>
        <w:rPr>
          <w:rFonts w:ascii="微软雅黑" w:hAnsi="微软雅黑" w:eastAsia="微软雅黑"/>
          <w:sz w:val="21"/>
        </w:rPr>
        <w:t>7. 导出 CSV 数据表和 PNG 曲线图，完成实验报告。</w:t>
      </w:r>
    </w:p>
    <w:p>
      <w:pPr>
        <w:pStyle w:val="Heading2"/>
      </w:pPr>
      <w:r>
        <w:t>5.3 数据记录规则</w:t>
      </w:r>
    </w:p>
    <w:p>
      <w:pPr>
        <w:pStyle w:val="ListBullet"/>
        <w:spacing w:line="276" w:lineRule="auto" w:after="60"/>
      </w:pPr>
      <w:r>
        <w:rPr>
          <w:rFonts w:ascii="微软雅黑" w:hAnsi="微软雅黑" w:eastAsia="微软雅黑"/>
          <w:sz w:val="21"/>
        </w:rPr>
        <w:t>击穿电压读取击穿瞬间的电压值，并结合电流或功率突变判断。</w:t>
      </w:r>
    </w:p>
    <w:p>
      <w:pPr>
        <w:pStyle w:val="ListBullet"/>
        <w:spacing w:line="276" w:lineRule="auto" w:after="60"/>
      </w:pPr>
      <w:r>
        <w:rPr>
          <w:rFonts w:ascii="微软雅黑" w:hAnsi="微软雅黑" w:eastAsia="微软雅黑"/>
          <w:sz w:val="21"/>
        </w:rPr>
        <w:t>同一组实验中保持一个主变量变化，其余条件尽量一致。</w:t>
      </w:r>
    </w:p>
    <w:p>
      <w:pPr>
        <w:pStyle w:val="ListBullet"/>
        <w:spacing w:line="276" w:lineRule="auto" w:after="60"/>
      </w:pPr>
      <w:r>
        <w:rPr>
          <w:rFonts w:ascii="微软雅黑" w:hAnsi="微软雅黑" w:eastAsia="微软雅黑"/>
          <w:sz w:val="21"/>
        </w:rPr>
        <w:t>帕邢曲线实验记录 p、d、pd、Ub 四类数据。</w:t>
      </w:r>
    </w:p>
    <w:p>
      <w:pPr>
        <w:pStyle w:val="ListBullet"/>
        <w:spacing w:line="276" w:lineRule="auto" w:after="60"/>
      </w:pPr>
      <w:r>
        <w:rPr>
          <w:rFonts w:ascii="微软雅黑" w:hAnsi="微软雅黑" w:eastAsia="微软雅黑"/>
          <w:sz w:val="21"/>
        </w:rPr>
        <w:t>双探针实验记录探针电压 Up 与探针电流 Ip。</w:t>
      </w:r>
    </w:p>
    <w:p>
      <w:pPr>
        <w:pStyle w:val="ListBullet"/>
        <w:spacing w:line="276" w:lineRule="auto" w:after="60"/>
      </w:pPr>
      <w:r>
        <w:rPr>
          <w:rFonts w:ascii="微软雅黑" w:hAnsi="微软雅黑" w:eastAsia="微软雅黑"/>
          <w:sz w:val="21"/>
        </w:rPr>
        <w:t>曲线分析同时呈现原始数据点、拟合曲线和关键参数。</w:t>
      </w:r>
    </w:p>
    <w:p>
      <w:pPr>
        <w:pStyle w:val="Heading1"/>
      </w:pPr>
      <w:r>
        <w:t>六、在线演示</w:t>
      </w:r>
    </w:p>
    <w:p>
      <w:pPr>
        <w:spacing w:line="300" w:lineRule="auto" w:after="120"/>
        <w:jc w:val="both"/>
      </w:pPr>
      <w:r>
        <w:rPr>
          <w:rFonts w:ascii="微软雅黑" w:hAnsi="微软雅黑" w:eastAsia="微软雅黑"/>
          <w:sz w:val="21"/>
        </w:rPr>
        <w:t>在线演示模块以三维装置为核心界面，展示“调节参数—触发放电—读取数据—进入分析”的完整闭环。演示过程从宏观装置认知进入参数控制，再进入放电类型对比和定量曲线分析。</w:t>
      </w:r>
    </w:p>
    <w:p>
      <w:pPr>
        <w:jc w:val="center"/>
      </w:pPr>
      <w:r>
        <w:drawing>
          <wp:inline xmlns:a="http://schemas.openxmlformats.org/drawingml/2006/main" xmlns:pic="http://schemas.openxmlformats.org/drawingml/2006/picture">
            <wp:extent cx="3060000" cy="2583521"/>
            <wp:docPr id="9" name="Picture 9"/>
            <wp:cNvGraphicFramePr>
              <a:graphicFrameLocks noChangeAspect="1"/>
            </wp:cNvGraphicFramePr>
            <a:graphic>
              <a:graphicData uri="http://schemas.openxmlformats.org/drawingml/2006/picture">
                <pic:pic>
                  <pic:nvPicPr>
                    <pic:cNvPr id="0" name="image2.png"/>
                    <pic:cNvPicPr/>
                  </pic:nvPicPr>
                  <pic:blipFill>
                    <a:blip r:embed="rId17"/>
                    <a:stretch>
                      <a:fillRect/>
                    </a:stretch>
                  </pic:blipFill>
                  <pic:spPr>
                    <a:xfrm>
                      <a:off x="0" y="0"/>
                      <a:ext cx="3060000" cy="2583521"/>
                    </a:xfrm>
                    <a:prstGeom prst="rect"/>
                  </pic:spPr>
                </pic:pic>
              </a:graphicData>
            </a:graphic>
          </wp:inline>
        </w:drawing>
      </w:r>
    </w:p>
    <w:p>
      <w:pPr>
        <w:spacing w:after="120"/>
        <w:jc w:val="center"/>
      </w:pPr>
      <w:r>
        <w:rPr>
          <w:rFonts w:ascii="微软雅黑" w:hAnsi="微软雅黑" w:eastAsia="微软雅黑"/>
          <w:color w:val="595959"/>
          <w:sz w:val="18"/>
        </w:rPr>
        <w:t>程序整体运行逻辑流程</w:t>
      </w:r>
    </w:p>
    <w:tbl>
      <w:tblPr>
        <w:tblStyle w:val="TableGrid"/>
        <w:tblW w:type="auto" w:w="0"/>
        <w:jc w:val="center"/>
        <w:tblLook w:firstColumn="1" w:firstRow="1" w:lastColumn="0" w:lastRow="0" w:noHBand="0" w:noVBand="1" w:val="04A0"/>
      </w:tblPr>
      <w:tblGrid>
        <w:gridCol w:w="3324"/>
        <w:gridCol w:w="3324"/>
        <w:gridCol w:w="3324"/>
      </w:tblGrid>
      <w:tr>
        <w:trPr>
          <w:tblHeader w:val="true"/>
        </w:trPr>
        <w:tc>
          <w:tcPr>
            <w:tcW w:type="dxa" w:w="3324"/>
            <w:vAlign w:val="center"/>
            <w:shd w:fill="1F4E79"/>
          </w:tcPr>
          <w:p>
            <w:pPr>
              <w:jc w:val="center"/>
            </w:pPr>
            <w:r>
              <w:rPr>
                <w:rFonts w:ascii="微软雅黑" w:hAnsi="微软雅黑" w:eastAsia="微软雅黑"/>
                <w:b/>
                <w:color w:val="FFFFFF"/>
                <w:sz w:val="18"/>
              </w:rPr>
              <w:t>演示环节</w:t>
            </w:r>
          </w:p>
        </w:tc>
        <w:tc>
          <w:tcPr>
            <w:tcW w:type="dxa" w:w="3324"/>
            <w:vAlign w:val="center"/>
            <w:shd w:fill="1F4E79"/>
          </w:tcPr>
          <w:p>
            <w:pPr>
              <w:jc w:val="center"/>
            </w:pPr>
            <w:r>
              <w:rPr>
                <w:rFonts w:ascii="微软雅黑" w:hAnsi="微软雅黑" w:eastAsia="微软雅黑"/>
                <w:b/>
                <w:color w:val="FFFFFF"/>
                <w:sz w:val="18"/>
              </w:rPr>
              <w:t>画面内容</w:t>
            </w:r>
          </w:p>
        </w:tc>
        <w:tc>
          <w:tcPr>
            <w:tcW w:type="dxa" w:w="3324"/>
            <w:vAlign w:val="center"/>
            <w:shd w:fill="1F4E79"/>
          </w:tcPr>
          <w:p>
            <w:pPr>
              <w:jc w:val="center"/>
            </w:pPr>
            <w:r>
              <w:rPr>
                <w:rFonts w:ascii="微软雅黑" w:hAnsi="微软雅黑" w:eastAsia="微软雅黑"/>
                <w:b/>
                <w:color w:val="FFFFFF"/>
                <w:sz w:val="18"/>
              </w:rPr>
              <w:t>讲解重点</w:t>
            </w:r>
          </w:p>
        </w:tc>
      </w:tr>
      <w:tr>
        <w:tc>
          <w:tcPr>
            <w:tcW w:type="dxa" w:w="3324"/>
            <w:vAlign w:val="center"/>
          </w:tcPr>
          <w:p>
            <w:r>
              <w:rPr>
                <w:rFonts w:ascii="微软雅黑" w:hAnsi="微软雅黑" w:eastAsia="微软雅黑"/>
                <w:sz w:val="18"/>
              </w:rPr>
              <w:t>装置导入</w:t>
            </w:r>
          </w:p>
        </w:tc>
        <w:tc>
          <w:tcPr>
            <w:tcW w:type="dxa" w:w="3324"/>
            <w:vAlign w:val="center"/>
          </w:tcPr>
          <w:p>
            <w:r>
              <w:rPr>
                <w:rFonts w:ascii="微软雅黑" w:hAnsi="微软雅黑" w:eastAsia="微软雅黑"/>
                <w:sz w:val="18"/>
              </w:rPr>
              <w:t>展示真空腔体、电极、高压电源、真空泵和探针位置。</w:t>
            </w:r>
          </w:p>
        </w:tc>
        <w:tc>
          <w:tcPr>
            <w:tcW w:type="dxa" w:w="3324"/>
            <w:vAlign w:val="center"/>
          </w:tcPr>
          <w:p>
            <w:r>
              <w:rPr>
                <w:rFonts w:ascii="微软雅黑" w:hAnsi="微软雅黑" w:eastAsia="微软雅黑"/>
                <w:sz w:val="18"/>
              </w:rPr>
              <w:t>建立真实仪器与虚拟模型之间的对应关系。</w:t>
            </w:r>
          </w:p>
        </w:tc>
      </w:tr>
      <w:tr>
        <w:tc>
          <w:tcPr>
            <w:tcW w:type="dxa" w:w="3324"/>
            <w:vAlign w:val="center"/>
          </w:tcPr>
          <w:p>
            <w:r>
              <w:rPr>
                <w:rFonts w:ascii="微软雅黑" w:hAnsi="微软雅黑" w:eastAsia="微软雅黑"/>
                <w:sz w:val="18"/>
              </w:rPr>
              <w:t>参数调节</w:t>
            </w:r>
          </w:p>
        </w:tc>
        <w:tc>
          <w:tcPr>
            <w:tcW w:type="dxa" w:w="3324"/>
            <w:vAlign w:val="center"/>
          </w:tcPr>
          <w:p>
            <w:r>
              <w:rPr>
                <w:rFonts w:ascii="微软雅黑" w:hAnsi="微软雅黑" w:eastAsia="微软雅黑"/>
                <w:sz w:val="18"/>
              </w:rPr>
              <w:t>改变极间距、气压、电压、探针高度和探针电压。</w:t>
            </w:r>
          </w:p>
        </w:tc>
        <w:tc>
          <w:tcPr>
            <w:tcW w:type="dxa" w:w="3324"/>
            <w:vAlign w:val="center"/>
          </w:tcPr>
          <w:p>
            <w:r>
              <w:rPr>
                <w:rFonts w:ascii="微软雅黑" w:hAnsi="微软雅黑" w:eastAsia="微软雅黑"/>
                <w:sz w:val="18"/>
              </w:rPr>
              <w:t>观察单个参数变化对 pd、场强和击穿阈值的影响。</w:t>
            </w:r>
          </w:p>
        </w:tc>
      </w:tr>
      <w:tr>
        <w:tc>
          <w:tcPr>
            <w:tcW w:type="dxa" w:w="3324"/>
            <w:vAlign w:val="center"/>
          </w:tcPr>
          <w:p>
            <w:r>
              <w:rPr>
                <w:rFonts w:ascii="微软雅黑" w:hAnsi="微软雅黑" w:eastAsia="微软雅黑"/>
                <w:sz w:val="18"/>
              </w:rPr>
              <w:t>现象观察</w:t>
            </w:r>
          </w:p>
        </w:tc>
        <w:tc>
          <w:tcPr>
            <w:tcW w:type="dxa" w:w="3324"/>
            <w:vAlign w:val="center"/>
          </w:tcPr>
          <w:p>
            <w:r>
              <w:rPr>
                <w:rFonts w:ascii="微软雅黑" w:hAnsi="微软雅黑" w:eastAsia="微软雅黑"/>
                <w:sz w:val="18"/>
              </w:rPr>
              <w:t>显示电晕、辉光、火花、弧光等放电效果。</w:t>
            </w:r>
          </w:p>
        </w:tc>
        <w:tc>
          <w:tcPr>
            <w:tcW w:type="dxa" w:w="3324"/>
            <w:vAlign w:val="center"/>
          </w:tcPr>
          <w:p>
            <w:r>
              <w:rPr>
                <w:rFonts w:ascii="微软雅黑" w:hAnsi="微软雅黑" w:eastAsia="微软雅黑"/>
                <w:sz w:val="18"/>
              </w:rPr>
              <w:t>比较不同放电类型的空间形态、稳定性和持续时间。</w:t>
            </w:r>
          </w:p>
        </w:tc>
      </w:tr>
      <w:tr>
        <w:tc>
          <w:tcPr>
            <w:tcW w:type="dxa" w:w="3324"/>
            <w:vAlign w:val="center"/>
          </w:tcPr>
          <w:p>
            <w:r>
              <w:rPr>
                <w:rFonts w:ascii="微软雅黑" w:hAnsi="微软雅黑" w:eastAsia="微软雅黑"/>
                <w:sz w:val="18"/>
              </w:rPr>
              <w:t>数据分析</w:t>
            </w:r>
          </w:p>
        </w:tc>
        <w:tc>
          <w:tcPr>
            <w:tcW w:type="dxa" w:w="3324"/>
            <w:vAlign w:val="center"/>
          </w:tcPr>
          <w:p>
            <w:r>
              <w:rPr>
                <w:rFonts w:ascii="微软雅黑" w:hAnsi="微软雅黑" w:eastAsia="微软雅黑"/>
                <w:sz w:val="18"/>
              </w:rPr>
              <w:t>生成 Ub-pd 曲线或 I-V 曲线。</w:t>
            </w:r>
          </w:p>
        </w:tc>
        <w:tc>
          <w:tcPr>
            <w:tcW w:type="dxa" w:w="3324"/>
            <w:vAlign w:val="center"/>
          </w:tcPr>
          <w:p>
            <w:r>
              <w:rPr>
                <w:rFonts w:ascii="微软雅黑" w:hAnsi="微软雅黑" w:eastAsia="微软雅黑"/>
                <w:sz w:val="18"/>
              </w:rPr>
              <w:t>由曲线读取物理规律和等离子体诊断参数。</w:t>
            </w:r>
          </w:p>
        </w:tc>
      </w:tr>
    </w:tbl>
    <w:p>
      <w:pPr>
        <w:pStyle w:val="Heading2"/>
      </w:pPr>
      <w:r>
        <w:t>在线练习题</w:t>
      </w:r>
    </w:p>
    <w:p>
      <w:pPr>
        <w:spacing w:line="276" w:lineRule="auto" w:after="60"/>
        <w:ind w:left="170" w:hanging="170"/>
      </w:pPr>
      <w:r>
        <w:rPr>
          <w:rFonts w:ascii="微软雅黑" w:hAnsi="微软雅黑" w:eastAsia="微软雅黑"/>
          <w:sz w:val="21"/>
        </w:rPr>
        <w:t>1. 当气压保持不变、极间距增大时，pd 如何变化？击穿电压可能如何变化？</w:t>
      </w:r>
    </w:p>
    <w:p>
      <w:pPr>
        <w:spacing w:line="276" w:lineRule="auto" w:after="60"/>
        <w:ind w:left="170" w:hanging="170"/>
      </w:pPr>
      <w:r>
        <w:rPr>
          <w:rFonts w:ascii="微软雅黑" w:hAnsi="微软雅黑" w:eastAsia="微软雅黑"/>
          <w:sz w:val="21"/>
        </w:rPr>
        <w:t>2. 为什么帕邢曲线存在最小击穿电压？</w:t>
      </w:r>
    </w:p>
    <w:p>
      <w:pPr>
        <w:spacing w:line="276" w:lineRule="auto" w:after="60"/>
        <w:ind w:left="170" w:hanging="170"/>
      </w:pPr>
      <w:r>
        <w:rPr>
          <w:rFonts w:ascii="微软雅黑" w:hAnsi="微软雅黑" w:eastAsia="微软雅黑"/>
          <w:sz w:val="21"/>
        </w:rPr>
        <w:t>3. 电晕放电与火花放电的放电通道有何差异？</w:t>
      </w:r>
    </w:p>
    <w:p>
      <w:pPr>
        <w:spacing w:line="276" w:lineRule="auto" w:after="60"/>
        <w:ind w:left="170" w:hanging="170"/>
      </w:pPr>
      <w:r>
        <w:rPr>
          <w:rFonts w:ascii="微软雅黑" w:hAnsi="微软雅黑" w:eastAsia="微软雅黑"/>
          <w:sz w:val="21"/>
        </w:rPr>
        <w:t>4. 双探针 I-V 曲线中饱和电流和曲线斜率分别对应哪些等离子体信息？</w:t>
      </w:r>
    </w:p>
    <w:p>
      <w:pPr>
        <w:pStyle w:val="Heading1"/>
      </w:pPr>
      <w:r>
        <w:t>七、实验指导书下载</w:t>
      </w:r>
    </w:p>
    <w:p>
      <w:pPr>
        <w:spacing w:line="300" w:lineRule="auto" w:after="120"/>
        <w:jc w:val="both"/>
      </w:pPr>
      <w:r>
        <w:rPr>
          <w:rFonts w:ascii="微软雅黑" w:hAnsi="微软雅黑" w:eastAsia="微软雅黑"/>
          <w:sz w:val="21"/>
        </w:rPr>
        <w:t>下载区提供实验学习、数据记录和报告撰写所需文件。文件围绕实验前准备、实验中记录、实验后分析三个阶段组织，帮助学生把在线操作结果转化为规范实验成果。</w:t>
      </w:r>
    </w:p>
    <w:tbl>
      <w:tblPr>
        <w:tblStyle w:val="TableGrid"/>
        <w:tblW w:type="auto" w:w="0"/>
        <w:jc w:val="center"/>
        <w:tblLook w:firstColumn="1" w:firstRow="1" w:lastColumn="0" w:lastRow="0" w:noHBand="0" w:noVBand="1" w:val="04A0"/>
      </w:tblPr>
      <w:tblGrid>
        <w:gridCol w:w="3324"/>
        <w:gridCol w:w="3324"/>
        <w:gridCol w:w="3324"/>
      </w:tblGrid>
      <w:tr>
        <w:trPr>
          <w:tblHeader w:val="true"/>
        </w:trPr>
        <w:tc>
          <w:tcPr>
            <w:tcW w:type="dxa" w:w="3324"/>
            <w:vAlign w:val="center"/>
            <w:shd w:fill="1F4E79"/>
          </w:tcPr>
          <w:p>
            <w:pPr>
              <w:jc w:val="center"/>
            </w:pPr>
            <w:r>
              <w:rPr>
                <w:rFonts w:ascii="微软雅黑" w:hAnsi="微软雅黑" w:eastAsia="微软雅黑"/>
                <w:b/>
                <w:color w:val="FFFFFF"/>
                <w:sz w:val="18"/>
              </w:rPr>
              <w:t>文件名称</w:t>
            </w:r>
          </w:p>
        </w:tc>
        <w:tc>
          <w:tcPr>
            <w:tcW w:type="dxa" w:w="3324"/>
            <w:vAlign w:val="center"/>
            <w:shd w:fill="1F4E79"/>
          </w:tcPr>
          <w:p>
            <w:pPr>
              <w:jc w:val="center"/>
            </w:pPr>
            <w:r>
              <w:rPr>
                <w:rFonts w:ascii="微软雅黑" w:hAnsi="微软雅黑" w:eastAsia="微软雅黑"/>
                <w:b/>
                <w:color w:val="FFFFFF"/>
                <w:sz w:val="18"/>
              </w:rPr>
              <w:t>主要内容</w:t>
            </w:r>
          </w:p>
        </w:tc>
        <w:tc>
          <w:tcPr>
            <w:tcW w:type="dxa" w:w="3324"/>
            <w:vAlign w:val="center"/>
            <w:shd w:fill="1F4E79"/>
          </w:tcPr>
          <w:p>
            <w:pPr>
              <w:jc w:val="center"/>
            </w:pPr>
            <w:r>
              <w:rPr>
                <w:rFonts w:ascii="微软雅黑" w:hAnsi="微软雅黑" w:eastAsia="微软雅黑"/>
                <w:b/>
                <w:color w:val="FFFFFF"/>
                <w:sz w:val="18"/>
              </w:rPr>
              <w:t>使用阶段</w:t>
            </w:r>
          </w:p>
        </w:tc>
      </w:tr>
      <w:tr>
        <w:tc>
          <w:tcPr>
            <w:tcW w:type="dxa" w:w="3324"/>
            <w:vAlign w:val="center"/>
          </w:tcPr>
          <w:p>
            <w:r>
              <w:rPr>
                <w:rFonts w:ascii="微软雅黑" w:hAnsi="微软雅黑" w:eastAsia="微软雅黑"/>
                <w:sz w:val="18"/>
              </w:rPr>
              <w:t>实验操作手册</w:t>
            </w:r>
          </w:p>
        </w:tc>
        <w:tc>
          <w:tcPr>
            <w:tcW w:type="dxa" w:w="3324"/>
            <w:vAlign w:val="center"/>
          </w:tcPr>
          <w:p>
            <w:r>
              <w:rPr>
                <w:rFonts w:ascii="微软雅黑" w:hAnsi="微软雅黑" w:eastAsia="微软雅黑"/>
                <w:sz w:val="18"/>
              </w:rPr>
              <w:t>安全边界、仪器结构、实验流程、数据记录格式。</w:t>
            </w:r>
          </w:p>
        </w:tc>
        <w:tc>
          <w:tcPr>
            <w:tcW w:type="dxa" w:w="3324"/>
            <w:vAlign w:val="center"/>
          </w:tcPr>
          <w:p>
            <w:r>
              <w:rPr>
                <w:rFonts w:ascii="微软雅黑" w:hAnsi="微软雅黑" w:eastAsia="微软雅黑"/>
                <w:sz w:val="18"/>
              </w:rPr>
              <w:t>实验前与实验中</w:t>
            </w:r>
          </w:p>
        </w:tc>
      </w:tr>
      <w:tr>
        <w:tc>
          <w:tcPr>
            <w:tcW w:type="dxa" w:w="3324"/>
            <w:vAlign w:val="center"/>
          </w:tcPr>
          <w:p>
            <w:r>
              <w:rPr>
                <w:rFonts w:ascii="微软雅黑" w:hAnsi="微软雅黑" w:eastAsia="微软雅黑"/>
                <w:sz w:val="18"/>
              </w:rPr>
              <w:t>帕邢定律数据表</w:t>
            </w:r>
          </w:p>
        </w:tc>
        <w:tc>
          <w:tcPr>
            <w:tcW w:type="dxa" w:w="3324"/>
            <w:vAlign w:val="center"/>
          </w:tcPr>
          <w:p>
            <w:r>
              <w:rPr>
                <w:rFonts w:ascii="微软雅黑" w:hAnsi="微软雅黑" w:eastAsia="微软雅黑"/>
                <w:sz w:val="18"/>
              </w:rPr>
              <w:t>p、d、pd、Ub 数据记录表，曲线绘图区域。</w:t>
            </w:r>
          </w:p>
        </w:tc>
        <w:tc>
          <w:tcPr>
            <w:tcW w:type="dxa" w:w="3324"/>
            <w:vAlign w:val="center"/>
          </w:tcPr>
          <w:p>
            <w:r>
              <w:rPr>
                <w:rFonts w:ascii="微软雅黑" w:hAnsi="微软雅黑" w:eastAsia="微软雅黑"/>
                <w:sz w:val="18"/>
              </w:rPr>
              <w:t>击穿电压测量</w:t>
            </w:r>
          </w:p>
        </w:tc>
      </w:tr>
      <w:tr>
        <w:tc>
          <w:tcPr>
            <w:tcW w:type="dxa" w:w="3324"/>
            <w:vAlign w:val="center"/>
          </w:tcPr>
          <w:p>
            <w:r>
              <w:rPr>
                <w:rFonts w:ascii="微软雅黑" w:hAnsi="微软雅黑" w:eastAsia="微软雅黑"/>
                <w:sz w:val="18"/>
              </w:rPr>
              <w:t>朗缪尔双探针数据表</w:t>
            </w:r>
          </w:p>
        </w:tc>
        <w:tc>
          <w:tcPr>
            <w:tcW w:type="dxa" w:w="3324"/>
            <w:vAlign w:val="center"/>
          </w:tcPr>
          <w:p>
            <w:r>
              <w:rPr>
                <w:rFonts w:ascii="微软雅黑" w:hAnsi="微软雅黑" w:eastAsia="微软雅黑"/>
                <w:sz w:val="18"/>
              </w:rPr>
              <w:t>Up、Ip 数据记录表，I-V 曲线分析区域。</w:t>
            </w:r>
          </w:p>
        </w:tc>
        <w:tc>
          <w:tcPr>
            <w:tcW w:type="dxa" w:w="3324"/>
            <w:vAlign w:val="center"/>
          </w:tcPr>
          <w:p>
            <w:r>
              <w:rPr>
                <w:rFonts w:ascii="微软雅黑" w:hAnsi="微软雅黑" w:eastAsia="微软雅黑"/>
                <w:sz w:val="18"/>
              </w:rPr>
              <w:t>等离子体诊断</w:t>
            </w:r>
          </w:p>
        </w:tc>
      </w:tr>
      <w:tr>
        <w:tc>
          <w:tcPr>
            <w:tcW w:type="dxa" w:w="3324"/>
            <w:vAlign w:val="center"/>
          </w:tcPr>
          <w:p>
            <w:r>
              <w:rPr>
                <w:rFonts w:ascii="微软雅黑" w:hAnsi="微软雅黑" w:eastAsia="微软雅黑"/>
                <w:sz w:val="18"/>
              </w:rPr>
              <w:t>实验报告模板</w:t>
            </w:r>
          </w:p>
        </w:tc>
        <w:tc>
          <w:tcPr>
            <w:tcW w:type="dxa" w:w="3324"/>
            <w:vAlign w:val="center"/>
          </w:tcPr>
          <w:p>
            <w:r>
              <w:rPr>
                <w:rFonts w:ascii="微软雅黑" w:hAnsi="微软雅黑" w:eastAsia="微软雅黑"/>
                <w:sz w:val="18"/>
              </w:rPr>
              <w:t>实验目的、原理、步骤、数据、图像、结论与反思。</w:t>
            </w:r>
          </w:p>
        </w:tc>
        <w:tc>
          <w:tcPr>
            <w:tcW w:type="dxa" w:w="3324"/>
            <w:vAlign w:val="center"/>
          </w:tcPr>
          <w:p>
            <w:r>
              <w:rPr>
                <w:rFonts w:ascii="微软雅黑" w:hAnsi="微软雅黑" w:eastAsia="微软雅黑"/>
                <w:sz w:val="18"/>
              </w:rPr>
              <w:t>实验后</w:t>
            </w:r>
          </w:p>
        </w:tc>
      </w:tr>
      <w:tr>
        <w:tc>
          <w:tcPr>
            <w:tcW w:type="dxa" w:w="3324"/>
            <w:vAlign w:val="center"/>
          </w:tcPr>
          <w:p>
            <w:r>
              <w:rPr>
                <w:rFonts w:ascii="微软雅黑" w:hAnsi="微软雅黑" w:eastAsia="微软雅黑"/>
                <w:sz w:val="18"/>
              </w:rPr>
              <w:t>安全检查清单</w:t>
            </w:r>
          </w:p>
        </w:tc>
        <w:tc>
          <w:tcPr>
            <w:tcW w:type="dxa" w:w="3324"/>
            <w:vAlign w:val="center"/>
          </w:tcPr>
          <w:p>
            <w:r>
              <w:rPr>
                <w:rFonts w:ascii="微软雅黑" w:hAnsi="微软雅黑" w:eastAsia="微软雅黑"/>
                <w:sz w:val="18"/>
              </w:rPr>
              <w:t>接地、电源、真空、探针、电极和关闭流程检查项。</w:t>
            </w:r>
          </w:p>
        </w:tc>
        <w:tc>
          <w:tcPr>
            <w:tcW w:type="dxa" w:w="3324"/>
            <w:vAlign w:val="center"/>
          </w:tcPr>
          <w:p>
            <w:r>
              <w:rPr>
                <w:rFonts w:ascii="微软雅黑" w:hAnsi="微软雅黑" w:eastAsia="微软雅黑"/>
                <w:sz w:val="18"/>
              </w:rPr>
              <w:t>实验前与结束时</w:t>
            </w:r>
          </w:p>
        </w:tc>
      </w:tr>
      <w:tr>
        <w:tc>
          <w:tcPr>
            <w:tcW w:type="dxa" w:w="3324"/>
            <w:vAlign w:val="center"/>
          </w:tcPr>
          <w:p>
            <w:r>
              <w:rPr>
                <w:rFonts w:ascii="微软雅黑" w:hAnsi="微软雅黑" w:eastAsia="微软雅黑"/>
                <w:sz w:val="18"/>
              </w:rPr>
              <w:t>示例曲线图</w:t>
            </w:r>
          </w:p>
        </w:tc>
        <w:tc>
          <w:tcPr>
            <w:tcW w:type="dxa" w:w="3324"/>
            <w:vAlign w:val="center"/>
          </w:tcPr>
          <w:p>
            <w:r>
              <w:rPr>
                <w:rFonts w:ascii="微软雅黑" w:hAnsi="微软雅黑" w:eastAsia="微软雅黑"/>
                <w:sz w:val="18"/>
              </w:rPr>
              <w:t>帕邢曲线、双探针 I-V 曲线和数据处理图。</w:t>
            </w:r>
          </w:p>
        </w:tc>
        <w:tc>
          <w:tcPr>
            <w:tcW w:type="dxa" w:w="3324"/>
            <w:vAlign w:val="center"/>
          </w:tcPr>
          <w:p>
            <w:r>
              <w:rPr>
                <w:rFonts w:ascii="微软雅黑" w:hAnsi="微软雅黑" w:eastAsia="微软雅黑"/>
                <w:sz w:val="18"/>
              </w:rPr>
              <w:t>结果分析</w:t>
            </w:r>
          </w:p>
        </w:tc>
      </w:tr>
    </w:tbl>
    <w:p>
      <w:pPr>
        <w:pStyle w:val="Heading1"/>
      </w:pPr>
      <w:r>
        <w:t>八、开始实验</w:t>
      </w:r>
    </w:p>
    <w:p>
      <w:pPr>
        <w:spacing w:line="300" w:lineRule="auto" w:after="120"/>
        <w:jc w:val="both"/>
      </w:pPr>
      <w:r>
        <w:rPr>
          <w:rFonts w:ascii="微软雅黑" w:hAnsi="微软雅黑" w:eastAsia="微软雅黑"/>
          <w:sz w:val="21"/>
        </w:rPr>
        <w:t>开始实验页面承担平台操作入口功能。学生完成参数设置后进入放电交互，系统根据当前电极类型、气压、极间距、电压和环境参数计算击穿条件，并在三维场景中显示放电状态和实时数值。</w:t>
      </w:r>
    </w:p>
    <w:p>
      <w:pPr>
        <w:pStyle w:val="Heading2"/>
      </w:pPr>
      <w:r>
        <w:t>8.1 参数范围</w:t>
      </w:r>
    </w:p>
    <w:tbl>
      <w:tblPr>
        <w:tblStyle w:val="TableGrid"/>
        <w:tblW w:type="auto" w:w="0"/>
        <w:jc w:val="center"/>
        <w:tblLook w:firstColumn="1" w:firstRow="1" w:lastColumn="0" w:lastRow="0" w:noHBand="0" w:noVBand="1" w:val="04A0"/>
      </w:tblPr>
      <w:tblGrid>
        <w:gridCol w:w="2493"/>
        <w:gridCol w:w="2493"/>
        <w:gridCol w:w="2493"/>
        <w:gridCol w:w="2493"/>
      </w:tblGrid>
      <w:tr>
        <w:trPr>
          <w:tblHeader w:val="true"/>
        </w:trPr>
        <w:tc>
          <w:tcPr>
            <w:tcW w:type="dxa" w:w="2493"/>
            <w:vAlign w:val="center"/>
            <w:shd w:fill="1F4E79"/>
          </w:tcPr>
          <w:p>
            <w:pPr>
              <w:jc w:val="center"/>
            </w:pPr>
            <w:r>
              <w:rPr>
                <w:rFonts w:ascii="微软雅黑" w:hAnsi="微软雅黑" w:eastAsia="微软雅黑"/>
                <w:b/>
                <w:color w:val="FFFFFF"/>
                <w:sz w:val="18"/>
              </w:rPr>
              <w:t>参数</w:t>
            </w:r>
          </w:p>
        </w:tc>
        <w:tc>
          <w:tcPr>
            <w:tcW w:type="dxa" w:w="2493"/>
            <w:vAlign w:val="center"/>
            <w:shd w:fill="1F4E79"/>
          </w:tcPr>
          <w:p>
            <w:pPr>
              <w:jc w:val="center"/>
            </w:pPr>
            <w:r>
              <w:rPr>
                <w:rFonts w:ascii="微软雅黑" w:hAnsi="微软雅黑" w:eastAsia="微软雅黑"/>
                <w:b/>
                <w:color w:val="FFFFFF"/>
                <w:sz w:val="18"/>
              </w:rPr>
              <w:t>符号</w:t>
            </w:r>
          </w:p>
        </w:tc>
        <w:tc>
          <w:tcPr>
            <w:tcW w:type="dxa" w:w="2493"/>
            <w:vAlign w:val="center"/>
            <w:shd w:fill="1F4E79"/>
          </w:tcPr>
          <w:p>
            <w:pPr>
              <w:jc w:val="center"/>
            </w:pPr>
            <w:r>
              <w:rPr>
                <w:rFonts w:ascii="微软雅黑" w:hAnsi="微软雅黑" w:eastAsia="微软雅黑"/>
                <w:b/>
                <w:color w:val="FFFFFF"/>
                <w:sz w:val="18"/>
              </w:rPr>
              <w:t>范围</w:t>
            </w:r>
          </w:p>
        </w:tc>
        <w:tc>
          <w:tcPr>
            <w:tcW w:type="dxa" w:w="2493"/>
            <w:vAlign w:val="center"/>
            <w:shd w:fill="1F4E79"/>
          </w:tcPr>
          <w:p>
            <w:pPr>
              <w:jc w:val="center"/>
            </w:pPr>
            <w:r>
              <w:rPr>
                <w:rFonts w:ascii="微软雅黑" w:hAnsi="微软雅黑" w:eastAsia="微软雅黑"/>
                <w:b/>
                <w:color w:val="FFFFFF"/>
                <w:sz w:val="18"/>
              </w:rPr>
              <w:t>作用</w:t>
            </w:r>
          </w:p>
        </w:tc>
      </w:tr>
      <w:tr>
        <w:tc>
          <w:tcPr>
            <w:tcW w:type="dxa" w:w="2493"/>
            <w:vAlign w:val="center"/>
          </w:tcPr>
          <w:p>
            <w:r>
              <w:rPr>
                <w:rFonts w:ascii="微软雅黑" w:hAnsi="微软雅黑" w:eastAsia="微软雅黑"/>
                <w:sz w:val="18"/>
              </w:rPr>
              <w:t>极板间距</w:t>
            </w:r>
          </w:p>
        </w:tc>
        <w:tc>
          <w:tcPr>
            <w:tcW w:type="dxa" w:w="2493"/>
            <w:vAlign w:val="center"/>
          </w:tcPr>
          <w:p>
            <w:r>
              <w:rPr>
                <w:rFonts w:ascii="微软雅黑" w:hAnsi="微软雅黑" w:eastAsia="微软雅黑"/>
                <w:sz w:val="18"/>
              </w:rPr>
              <w:t>d</w:t>
            </w:r>
          </w:p>
        </w:tc>
        <w:tc>
          <w:tcPr>
            <w:tcW w:type="dxa" w:w="2493"/>
            <w:vAlign w:val="center"/>
          </w:tcPr>
          <w:p>
            <w:r>
              <w:rPr>
                <w:rFonts w:ascii="微软雅黑" w:hAnsi="微软雅黑" w:eastAsia="微软雅黑"/>
                <w:sz w:val="18"/>
              </w:rPr>
              <w:t>0-80 mm</w:t>
            </w:r>
          </w:p>
        </w:tc>
        <w:tc>
          <w:tcPr>
            <w:tcW w:type="dxa" w:w="2493"/>
            <w:vAlign w:val="center"/>
          </w:tcPr>
          <w:p>
            <w:r>
              <w:rPr>
                <w:rFonts w:ascii="微软雅黑" w:hAnsi="微软雅黑" w:eastAsia="微软雅黑"/>
                <w:sz w:val="18"/>
              </w:rPr>
              <w:t>改变两电极之间距离，影响 pd 和场强。</w:t>
            </w:r>
          </w:p>
        </w:tc>
      </w:tr>
      <w:tr>
        <w:tc>
          <w:tcPr>
            <w:tcW w:type="dxa" w:w="2493"/>
            <w:vAlign w:val="center"/>
          </w:tcPr>
          <w:p>
            <w:r>
              <w:rPr>
                <w:rFonts w:ascii="微软雅黑" w:hAnsi="微软雅黑" w:eastAsia="微软雅黑"/>
                <w:sz w:val="18"/>
              </w:rPr>
              <w:t>气压</w:t>
            </w:r>
          </w:p>
        </w:tc>
        <w:tc>
          <w:tcPr>
            <w:tcW w:type="dxa" w:w="2493"/>
            <w:vAlign w:val="center"/>
          </w:tcPr>
          <w:p>
            <w:r>
              <w:rPr>
                <w:rFonts w:ascii="微软雅黑" w:hAnsi="微软雅黑" w:eastAsia="微软雅黑"/>
                <w:sz w:val="18"/>
              </w:rPr>
              <w:t>p</w:t>
            </w:r>
          </w:p>
        </w:tc>
        <w:tc>
          <w:tcPr>
            <w:tcW w:type="dxa" w:w="2493"/>
            <w:vAlign w:val="center"/>
          </w:tcPr>
          <w:p>
            <w:r>
              <w:rPr>
                <w:rFonts w:ascii="微软雅黑" w:hAnsi="微软雅黑" w:eastAsia="微软雅黑"/>
                <w:sz w:val="18"/>
              </w:rPr>
              <w:t>100-20000 Pa</w:t>
            </w:r>
          </w:p>
        </w:tc>
        <w:tc>
          <w:tcPr>
            <w:tcW w:type="dxa" w:w="2493"/>
            <w:vAlign w:val="center"/>
          </w:tcPr>
          <w:p>
            <w:r>
              <w:rPr>
                <w:rFonts w:ascii="微软雅黑" w:hAnsi="微软雅黑" w:eastAsia="微软雅黑"/>
                <w:sz w:val="18"/>
              </w:rPr>
              <w:t>改变气体密度和碰撞频率。</w:t>
            </w:r>
          </w:p>
        </w:tc>
      </w:tr>
      <w:tr>
        <w:tc>
          <w:tcPr>
            <w:tcW w:type="dxa" w:w="2493"/>
            <w:vAlign w:val="center"/>
          </w:tcPr>
          <w:p>
            <w:r>
              <w:rPr>
                <w:rFonts w:ascii="微软雅黑" w:hAnsi="微软雅黑" w:eastAsia="微软雅黑"/>
                <w:sz w:val="18"/>
              </w:rPr>
              <w:t>两极板电压</w:t>
            </w:r>
          </w:p>
        </w:tc>
        <w:tc>
          <w:tcPr>
            <w:tcW w:type="dxa" w:w="2493"/>
            <w:vAlign w:val="center"/>
          </w:tcPr>
          <w:p>
            <w:r>
              <w:rPr>
                <w:rFonts w:ascii="微软雅黑" w:hAnsi="微软雅黑" w:eastAsia="微软雅黑"/>
                <w:sz w:val="18"/>
              </w:rPr>
              <w:t>U</w:t>
            </w:r>
          </w:p>
        </w:tc>
        <w:tc>
          <w:tcPr>
            <w:tcW w:type="dxa" w:w="2493"/>
            <w:vAlign w:val="center"/>
          </w:tcPr>
          <w:p>
            <w:r>
              <w:rPr>
                <w:rFonts w:ascii="微软雅黑" w:hAnsi="微软雅黑" w:eastAsia="微软雅黑"/>
                <w:sz w:val="18"/>
              </w:rPr>
              <w:t>0-8000 V</w:t>
            </w:r>
          </w:p>
        </w:tc>
        <w:tc>
          <w:tcPr>
            <w:tcW w:type="dxa" w:w="2493"/>
            <w:vAlign w:val="center"/>
          </w:tcPr>
          <w:p>
            <w:r>
              <w:rPr>
                <w:rFonts w:ascii="微软雅黑" w:hAnsi="微软雅黑" w:eastAsia="微软雅黑"/>
                <w:sz w:val="18"/>
              </w:rPr>
              <w:t>决定是否达到击穿阈值。</w:t>
            </w:r>
          </w:p>
        </w:tc>
      </w:tr>
      <w:tr>
        <w:tc>
          <w:tcPr>
            <w:tcW w:type="dxa" w:w="2493"/>
            <w:vAlign w:val="center"/>
          </w:tcPr>
          <w:p>
            <w:r>
              <w:rPr>
                <w:rFonts w:ascii="微软雅黑" w:hAnsi="微软雅黑" w:eastAsia="微软雅黑"/>
                <w:sz w:val="18"/>
              </w:rPr>
              <w:t>探针高度</w:t>
            </w:r>
          </w:p>
        </w:tc>
        <w:tc>
          <w:tcPr>
            <w:tcW w:type="dxa" w:w="2493"/>
            <w:vAlign w:val="center"/>
          </w:tcPr>
          <w:p>
            <w:r>
              <w:rPr>
                <w:rFonts w:ascii="微软雅黑" w:hAnsi="微软雅黑" w:eastAsia="微软雅黑"/>
                <w:sz w:val="18"/>
              </w:rPr>
              <w:t>h</w:t>
            </w:r>
          </w:p>
        </w:tc>
        <w:tc>
          <w:tcPr>
            <w:tcW w:type="dxa" w:w="2493"/>
            <w:vAlign w:val="center"/>
          </w:tcPr>
          <w:p>
            <w:r>
              <w:rPr>
                <w:rFonts w:ascii="微软雅黑" w:hAnsi="微软雅黑" w:eastAsia="微软雅黑"/>
                <w:sz w:val="18"/>
              </w:rPr>
              <w:t>-80-80 mm</w:t>
            </w:r>
          </w:p>
        </w:tc>
        <w:tc>
          <w:tcPr>
            <w:tcW w:type="dxa" w:w="2493"/>
            <w:vAlign w:val="center"/>
          </w:tcPr>
          <w:p>
            <w:r>
              <w:rPr>
                <w:rFonts w:ascii="微软雅黑" w:hAnsi="微软雅黑" w:eastAsia="微软雅黑"/>
                <w:sz w:val="18"/>
              </w:rPr>
              <w:t>改变双探针在放电区中的采样位置。</w:t>
            </w:r>
          </w:p>
        </w:tc>
      </w:tr>
      <w:tr>
        <w:tc>
          <w:tcPr>
            <w:tcW w:type="dxa" w:w="2493"/>
            <w:vAlign w:val="center"/>
          </w:tcPr>
          <w:p>
            <w:r>
              <w:rPr>
                <w:rFonts w:ascii="微软雅黑" w:hAnsi="微软雅黑" w:eastAsia="微软雅黑"/>
                <w:sz w:val="18"/>
              </w:rPr>
              <w:t>探针电压</w:t>
            </w:r>
          </w:p>
        </w:tc>
        <w:tc>
          <w:tcPr>
            <w:tcW w:type="dxa" w:w="2493"/>
            <w:vAlign w:val="center"/>
          </w:tcPr>
          <w:p>
            <w:r>
              <w:rPr>
                <w:rFonts w:ascii="微软雅黑" w:hAnsi="微软雅黑" w:eastAsia="微软雅黑"/>
                <w:sz w:val="18"/>
              </w:rPr>
              <w:t>Up</w:t>
            </w:r>
          </w:p>
        </w:tc>
        <w:tc>
          <w:tcPr>
            <w:tcW w:type="dxa" w:w="2493"/>
            <w:vAlign w:val="center"/>
          </w:tcPr>
          <w:p>
            <w:r>
              <w:rPr>
                <w:rFonts w:ascii="微软雅黑" w:hAnsi="微软雅黑" w:eastAsia="微软雅黑"/>
                <w:sz w:val="18"/>
              </w:rPr>
              <w:t>-250-250 V</w:t>
            </w:r>
          </w:p>
        </w:tc>
        <w:tc>
          <w:tcPr>
            <w:tcW w:type="dxa" w:w="2493"/>
            <w:vAlign w:val="center"/>
          </w:tcPr>
          <w:p>
            <w:r>
              <w:rPr>
                <w:rFonts w:ascii="微软雅黑" w:hAnsi="微软雅黑" w:eastAsia="微软雅黑"/>
                <w:sz w:val="18"/>
              </w:rPr>
              <w:t>形成双探针 I-V 曲线扫描。</w:t>
            </w:r>
          </w:p>
        </w:tc>
      </w:tr>
      <w:tr>
        <w:tc>
          <w:tcPr>
            <w:tcW w:type="dxa" w:w="2493"/>
            <w:vAlign w:val="center"/>
          </w:tcPr>
          <w:p>
            <w:r>
              <w:rPr>
                <w:rFonts w:ascii="微软雅黑" w:hAnsi="微软雅黑" w:eastAsia="微软雅黑"/>
                <w:sz w:val="18"/>
              </w:rPr>
              <w:t>探针电流</w:t>
            </w:r>
          </w:p>
        </w:tc>
        <w:tc>
          <w:tcPr>
            <w:tcW w:type="dxa" w:w="2493"/>
            <w:vAlign w:val="center"/>
          </w:tcPr>
          <w:p>
            <w:r>
              <w:rPr>
                <w:rFonts w:ascii="微软雅黑" w:hAnsi="微软雅黑" w:eastAsia="微软雅黑"/>
                <w:sz w:val="18"/>
              </w:rPr>
              <w:t>Ip</w:t>
            </w:r>
          </w:p>
        </w:tc>
        <w:tc>
          <w:tcPr>
            <w:tcW w:type="dxa" w:w="2493"/>
            <w:vAlign w:val="center"/>
          </w:tcPr>
          <w:p>
            <w:r>
              <w:rPr>
                <w:rFonts w:ascii="微软雅黑" w:hAnsi="微软雅黑" w:eastAsia="微软雅黑"/>
                <w:sz w:val="18"/>
              </w:rPr>
              <w:t>-120-120 μA</w:t>
            </w:r>
          </w:p>
        </w:tc>
        <w:tc>
          <w:tcPr>
            <w:tcW w:type="dxa" w:w="2493"/>
            <w:vAlign w:val="center"/>
          </w:tcPr>
          <w:p>
            <w:r>
              <w:rPr>
                <w:rFonts w:ascii="微软雅黑" w:hAnsi="微软雅黑" w:eastAsia="微软雅黑"/>
                <w:sz w:val="18"/>
              </w:rPr>
              <w:t>反映探针回路电流响应。</w:t>
            </w:r>
          </w:p>
        </w:tc>
      </w:tr>
      <w:tr>
        <w:tc>
          <w:tcPr>
            <w:tcW w:type="dxa" w:w="2493"/>
            <w:vAlign w:val="center"/>
          </w:tcPr>
          <w:p>
            <w:r>
              <w:rPr>
                <w:rFonts w:ascii="微软雅黑" w:hAnsi="微软雅黑" w:eastAsia="微软雅黑"/>
                <w:sz w:val="18"/>
              </w:rPr>
              <w:t>环境温度</w:t>
            </w:r>
          </w:p>
        </w:tc>
        <w:tc>
          <w:tcPr>
            <w:tcW w:type="dxa" w:w="2493"/>
            <w:vAlign w:val="center"/>
          </w:tcPr>
          <w:p>
            <w:r>
              <w:rPr>
                <w:rFonts w:ascii="微软雅黑" w:hAnsi="微软雅黑" w:eastAsia="微软雅黑"/>
                <w:sz w:val="18"/>
              </w:rPr>
              <w:t>T</w:t>
            </w:r>
          </w:p>
        </w:tc>
        <w:tc>
          <w:tcPr>
            <w:tcW w:type="dxa" w:w="2493"/>
            <w:vAlign w:val="center"/>
          </w:tcPr>
          <w:p>
            <w:r>
              <w:rPr>
                <w:rFonts w:ascii="微软雅黑" w:hAnsi="微软雅黑" w:eastAsia="微软雅黑"/>
                <w:sz w:val="18"/>
              </w:rPr>
              <w:t>实验室条件</w:t>
            </w:r>
          </w:p>
        </w:tc>
        <w:tc>
          <w:tcPr>
            <w:tcW w:type="dxa" w:w="2493"/>
            <w:vAlign w:val="center"/>
          </w:tcPr>
          <w:p>
            <w:r>
              <w:rPr>
                <w:rFonts w:ascii="微软雅黑" w:hAnsi="微软雅黑" w:eastAsia="微软雅黑"/>
                <w:sz w:val="18"/>
              </w:rPr>
              <w:t>参与空气密度修正。</w:t>
            </w:r>
          </w:p>
        </w:tc>
      </w:tr>
      <w:tr>
        <w:tc>
          <w:tcPr>
            <w:tcW w:type="dxa" w:w="2493"/>
            <w:vAlign w:val="center"/>
          </w:tcPr>
          <w:p>
            <w:r>
              <w:rPr>
                <w:rFonts w:ascii="微软雅黑" w:hAnsi="微软雅黑" w:eastAsia="微软雅黑"/>
                <w:sz w:val="18"/>
              </w:rPr>
              <w:t>环境湿度</w:t>
            </w:r>
          </w:p>
        </w:tc>
        <w:tc>
          <w:tcPr>
            <w:tcW w:type="dxa" w:w="2493"/>
            <w:vAlign w:val="center"/>
          </w:tcPr>
          <w:p>
            <w:r>
              <w:rPr>
                <w:rFonts w:ascii="微软雅黑" w:hAnsi="微软雅黑" w:eastAsia="微软雅黑"/>
                <w:sz w:val="18"/>
              </w:rPr>
              <w:t>RH</w:t>
            </w:r>
          </w:p>
        </w:tc>
        <w:tc>
          <w:tcPr>
            <w:tcW w:type="dxa" w:w="2493"/>
            <w:vAlign w:val="center"/>
          </w:tcPr>
          <w:p>
            <w:r>
              <w:rPr>
                <w:rFonts w:ascii="微软雅黑" w:hAnsi="微软雅黑" w:eastAsia="微软雅黑"/>
                <w:sz w:val="18"/>
              </w:rPr>
              <w:t>0-100%</w:t>
            </w:r>
          </w:p>
        </w:tc>
        <w:tc>
          <w:tcPr>
            <w:tcW w:type="dxa" w:w="2493"/>
            <w:vAlign w:val="center"/>
          </w:tcPr>
          <w:p>
            <w:r>
              <w:rPr>
                <w:rFonts w:ascii="微软雅黑" w:hAnsi="微软雅黑" w:eastAsia="微软雅黑"/>
                <w:sz w:val="18"/>
              </w:rPr>
              <w:t>参与空气工况下的二级修正。</w:t>
            </w:r>
          </w:p>
        </w:tc>
      </w:tr>
    </w:tbl>
    <w:p>
      <w:pPr>
        <w:pStyle w:val="Heading2"/>
      </w:pPr>
      <w:r>
        <w:t>8.2 页面按钮</w:t>
      </w:r>
    </w:p>
    <w:tbl>
      <w:tblPr>
        <w:tblStyle w:val="TableGrid"/>
        <w:tblW w:type="auto" w:w="0"/>
        <w:jc w:val="center"/>
        <w:tblLook w:firstColumn="1" w:firstRow="1" w:lastColumn="0" w:lastRow="0" w:noHBand="0" w:noVBand="1" w:val="04A0"/>
      </w:tblPr>
      <w:tblGrid>
        <w:gridCol w:w="3324"/>
        <w:gridCol w:w="3324"/>
        <w:gridCol w:w="3324"/>
      </w:tblGrid>
      <w:tr>
        <w:trPr>
          <w:tblHeader w:val="true"/>
        </w:trPr>
        <w:tc>
          <w:tcPr>
            <w:tcW w:type="dxa" w:w="3324"/>
            <w:vAlign w:val="center"/>
            <w:shd w:fill="1F4E79"/>
          </w:tcPr>
          <w:p>
            <w:pPr>
              <w:jc w:val="center"/>
            </w:pPr>
            <w:r>
              <w:rPr>
                <w:rFonts w:ascii="微软雅黑" w:hAnsi="微软雅黑" w:eastAsia="微软雅黑"/>
                <w:b/>
                <w:color w:val="FFFFFF"/>
                <w:sz w:val="18"/>
              </w:rPr>
              <w:t>按钮</w:t>
            </w:r>
          </w:p>
        </w:tc>
        <w:tc>
          <w:tcPr>
            <w:tcW w:type="dxa" w:w="3324"/>
            <w:vAlign w:val="center"/>
            <w:shd w:fill="1F4E79"/>
          </w:tcPr>
          <w:p>
            <w:pPr>
              <w:jc w:val="center"/>
            </w:pPr>
            <w:r>
              <w:rPr>
                <w:rFonts w:ascii="微软雅黑" w:hAnsi="微软雅黑" w:eastAsia="微软雅黑"/>
                <w:b/>
                <w:color w:val="FFFFFF"/>
                <w:sz w:val="18"/>
              </w:rPr>
              <w:t>执行动作</w:t>
            </w:r>
          </w:p>
        </w:tc>
        <w:tc>
          <w:tcPr>
            <w:tcW w:type="dxa" w:w="3324"/>
            <w:vAlign w:val="center"/>
            <w:shd w:fill="1F4E79"/>
          </w:tcPr>
          <w:p>
            <w:pPr>
              <w:jc w:val="center"/>
            </w:pPr>
            <w:r>
              <w:rPr>
                <w:rFonts w:ascii="微软雅黑" w:hAnsi="微软雅黑" w:eastAsia="微软雅黑"/>
                <w:b/>
                <w:color w:val="FFFFFF"/>
                <w:sz w:val="18"/>
              </w:rPr>
              <w:t>输出结果</w:t>
            </w:r>
          </w:p>
        </w:tc>
      </w:tr>
      <w:tr>
        <w:tc>
          <w:tcPr>
            <w:tcW w:type="dxa" w:w="3324"/>
            <w:vAlign w:val="center"/>
          </w:tcPr>
          <w:p>
            <w:r>
              <w:rPr>
                <w:rFonts w:ascii="微软雅黑" w:hAnsi="微软雅黑" w:eastAsia="微软雅黑"/>
                <w:sz w:val="18"/>
              </w:rPr>
              <w:t>开始放电</w:t>
            </w:r>
          </w:p>
        </w:tc>
        <w:tc>
          <w:tcPr>
            <w:tcW w:type="dxa" w:w="3324"/>
            <w:vAlign w:val="center"/>
          </w:tcPr>
          <w:p>
            <w:r>
              <w:rPr>
                <w:rFonts w:ascii="微软雅黑" w:hAnsi="微软雅黑" w:eastAsia="微软雅黑"/>
                <w:sz w:val="18"/>
              </w:rPr>
              <w:t>按照当前参数触发放电判定和可视化。</w:t>
            </w:r>
          </w:p>
        </w:tc>
        <w:tc>
          <w:tcPr>
            <w:tcW w:type="dxa" w:w="3324"/>
            <w:vAlign w:val="center"/>
          </w:tcPr>
          <w:p>
            <w:r>
              <w:rPr>
                <w:rFonts w:ascii="微软雅黑" w:hAnsi="微软雅黑" w:eastAsia="微软雅黑"/>
                <w:sz w:val="18"/>
              </w:rPr>
              <w:t>放电状态、发光效果、实时数值。</w:t>
            </w:r>
          </w:p>
        </w:tc>
      </w:tr>
      <w:tr>
        <w:tc>
          <w:tcPr>
            <w:tcW w:type="dxa" w:w="3324"/>
            <w:vAlign w:val="center"/>
          </w:tcPr>
          <w:p>
            <w:r>
              <w:rPr>
                <w:rFonts w:ascii="微软雅黑" w:hAnsi="微软雅黑" w:eastAsia="微软雅黑"/>
                <w:sz w:val="18"/>
              </w:rPr>
              <w:t>重置参数</w:t>
            </w:r>
          </w:p>
        </w:tc>
        <w:tc>
          <w:tcPr>
            <w:tcW w:type="dxa" w:w="3324"/>
            <w:vAlign w:val="center"/>
          </w:tcPr>
          <w:p>
            <w:r>
              <w:rPr>
                <w:rFonts w:ascii="微软雅黑" w:hAnsi="微软雅黑" w:eastAsia="微软雅黑"/>
                <w:sz w:val="18"/>
              </w:rPr>
              <w:t>恢复默认参数与初始场景。</w:t>
            </w:r>
          </w:p>
        </w:tc>
        <w:tc>
          <w:tcPr>
            <w:tcW w:type="dxa" w:w="3324"/>
            <w:vAlign w:val="center"/>
          </w:tcPr>
          <w:p>
            <w:r>
              <w:rPr>
                <w:rFonts w:ascii="微软雅黑" w:hAnsi="微软雅黑" w:eastAsia="微软雅黑"/>
                <w:sz w:val="18"/>
              </w:rPr>
              <w:t>清空当前放电状态和部分临时数据。</w:t>
            </w:r>
          </w:p>
        </w:tc>
      </w:tr>
      <w:tr>
        <w:tc>
          <w:tcPr>
            <w:tcW w:type="dxa" w:w="3324"/>
            <w:vAlign w:val="center"/>
          </w:tcPr>
          <w:p>
            <w:r>
              <w:rPr>
                <w:rFonts w:ascii="微软雅黑" w:hAnsi="微软雅黑" w:eastAsia="微软雅黑"/>
                <w:sz w:val="18"/>
              </w:rPr>
              <w:t>帕邢定律验证</w:t>
            </w:r>
          </w:p>
        </w:tc>
        <w:tc>
          <w:tcPr>
            <w:tcW w:type="dxa" w:w="3324"/>
            <w:vAlign w:val="center"/>
          </w:tcPr>
          <w:p>
            <w:r>
              <w:rPr>
                <w:rFonts w:ascii="微软雅黑" w:hAnsi="微软雅黑" w:eastAsia="微软雅黑"/>
                <w:sz w:val="18"/>
              </w:rPr>
              <w:t>进入 p-d-Ub 数据分析模块。</w:t>
            </w:r>
          </w:p>
        </w:tc>
        <w:tc>
          <w:tcPr>
            <w:tcW w:type="dxa" w:w="3324"/>
            <w:vAlign w:val="center"/>
          </w:tcPr>
          <w:p>
            <w:r>
              <w:rPr>
                <w:rFonts w:ascii="微软雅黑" w:hAnsi="微软雅黑" w:eastAsia="微软雅黑"/>
                <w:sz w:val="18"/>
              </w:rPr>
              <w:t>Ub-pd 曲线、拟合结果、CSV/PNG 导出。</w:t>
            </w:r>
          </w:p>
        </w:tc>
      </w:tr>
      <w:tr>
        <w:tc>
          <w:tcPr>
            <w:tcW w:type="dxa" w:w="3324"/>
            <w:vAlign w:val="center"/>
          </w:tcPr>
          <w:p>
            <w:r>
              <w:rPr>
                <w:rFonts w:ascii="微软雅黑" w:hAnsi="微软雅黑" w:eastAsia="微软雅黑"/>
                <w:sz w:val="18"/>
              </w:rPr>
              <w:t>朗缪尔双探针</w:t>
            </w:r>
          </w:p>
        </w:tc>
        <w:tc>
          <w:tcPr>
            <w:tcW w:type="dxa" w:w="3324"/>
            <w:vAlign w:val="center"/>
          </w:tcPr>
          <w:p>
            <w:r>
              <w:rPr>
                <w:rFonts w:ascii="微软雅黑" w:hAnsi="微软雅黑" w:eastAsia="微软雅黑"/>
                <w:sz w:val="18"/>
              </w:rPr>
              <w:t>进入 I-V 曲线分析模块。</w:t>
            </w:r>
          </w:p>
        </w:tc>
        <w:tc>
          <w:tcPr>
            <w:tcW w:type="dxa" w:w="3324"/>
            <w:vAlign w:val="center"/>
          </w:tcPr>
          <w:p>
            <w:r>
              <w:rPr>
                <w:rFonts w:ascii="微软雅黑" w:hAnsi="微软雅黑" w:eastAsia="微软雅黑"/>
                <w:sz w:val="18"/>
              </w:rPr>
              <w:t>Te、ne、I-V 曲线、CSV/PNG 导出。</w:t>
            </w:r>
          </w:p>
        </w:tc>
      </w:tr>
      <w:tr>
        <w:tc>
          <w:tcPr>
            <w:tcW w:type="dxa" w:w="3324"/>
            <w:vAlign w:val="center"/>
          </w:tcPr>
          <w:p>
            <w:r>
              <w:rPr>
                <w:rFonts w:ascii="微软雅黑" w:hAnsi="微软雅黑" w:eastAsia="微软雅黑"/>
                <w:sz w:val="18"/>
              </w:rPr>
              <w:t>导出数据</w:t>
            </w:r>
          </w:p>
        </w:tc>
        <w:tc>
          <w:tcPr>
            <w:tcW w:type="dxa" w:w="3324"/>
            <w:vAlign w:val="center"/>
          </w:tcPr>
          <w:p>
            <w:r>
              <w:rPr>
                <w:rFonts w:ascii="微软雅黑" w:hAnsi="微软雅黑" w:eastAsia="微软雅黑"/>
                <w:sz w:val="18"/>
              </w:rPr>
              <w:t>保存当前实验数据或图像。</w:t>
            </w:r>
          </w:p>
        </w:tc>
        <w:tc>
          <w:tcPr>
            <w:tcW w:type="dxa" w:w="3324"/>
            <w:vAlign w:val="center"/>
          </w:tcPr>
          <w:p>
            <w:r>
              <w:rPr>
                <w:rFonts w:ascii="微软雅黑" w:hAnsi="微软雅黑" w:eastAsia="微软雅黑"/>
                <w:sz w:val="18"/>
              </w:rPr>
              <w:t>实验报告素材。</w:t>
            </w:r>
          </w:p>
        </w:tc>
      </w:tr>
    </w:tbl>
    <w:p>
      <w:pPr>
        <w:pStyle w:val="Heading1"/>
      </w:pPr>
      <w:r>
        <w:t>九、实验报告</w:t>
      </w:r>
    </w:p>
    <w:p>
      <w:pPr>
        <w:spacing w:line="300" w:lineRule="auto" w:after="120"/>
        <w:jc w:val="both"/>
      </w:pPr>
      <w:r>
        <w:rPr>
          <w:rFonts w:ascii="微软雅黑" w:hAnsi="微软雅黑" w:eastAsia="微软雅黑"/>
          <w:sz w:val="21"/>
        </w:rPr>
        <w:t>实验报告围绕“实验目的—理论基础—操作过程—数据结果—物理分析—结论反思”展开。报告文字应客观描述实验条件、参数来源、图像结果和误差因素，避免只罗列现象。</w:t>
      </w:r>
    </w:p>
    <w:tbl>
      <w:tblPr>
        <w:tblStyle w:val="TableGrid"/>
        <w:tblW w:type="auto" w:w="0"/>
        <w:jc w:val="center"/>
        <w:tblLook w:firstColumn="1" w:firstRow="1" w:lastColumn="0" w:lastRow="0" w:noHBand="0" w:noVBand="1" w:val="04A0"/>
      </w:tblPr>
      <w:tblGrid>
        <w:gridCol w:w="3324"/>
        <w:gridCol w:w="3324"/>
        <w:gridCol w:w="3324"/>
      </w:tblGrid>
      <w:tr>
        <w:trPr>
          <w:tblHeader w:val="true"/>
        </w:trPr>
        <w:tc>
          <w:tcPr>
            <w:tcW w:type="dxa" w:w="3324"/>
            <w:vAlign w:val="center"/>
            <w:shd w:fill="1F4E79"/>
          </w:tcPr>
          <w:p>
            <w:pPr>
              <w:jc w:val="center"/>
            </w:pPr>
            <w:r>
              <w:rPr>
                <w:rFonts w:ascii="微软雅黑" w:hAnsi="微软雅黑" w:eastAsia="微软雅黑"/>
                <w:b/>
                <w:color w:val="FFFFFF"/>
                <w:sz w:val="18"/>
              </w:rPr>
              <w:t>报告部分</w:t>
            </w:r>
          </w:p>
        </w:tc>
        <w:tc>
          <w:tcPr>
            <w:tcW w:type="dxa" w:w="3324"/>
            <w:vAlign w:val="center"/>
            <w:shd w:fill="1F4E79"/>
          </w:tcPr>
          <w:p>
            <w:pPr>
              <w:jc w:val="center"/>
            </w:pPr>
            <w:r>
              <w:rPr>
                <w:rFonts w:ascii="微软雅黑" w:hAnsi="微软雅黑" w:eastAsia="微软雅黑"/>
                <w:b/>
                <w:color w:val="FFFFFF"/>
                <w:sz w:val="18"/>
              </w:rPr>
              <w:t>写作内容</w:t>
            </w:r>
          </w:p>
        </w:tc>
        <w:tc>
          <w:tcPr>
            <w:tcW w:type="dxa" w:w="3324"/>
            <w:vAlign w:val="center"/>
            <w:shd w:fill="1F4E79"/>
          </w:tcPr>
          <w:p>
            <w:pPr>
              <w:jc w:val="center"/>
            </w:pPr>
            <w:r>
              <w:rPr>
                <w:rFonts w:ascii="微软雅黑" w:hAnsi="微软雅黑" w:eastAsia="微软雅黑"/>
                <w:b/>
                <w:color w:val="FFFFFF"/>
                <w:sz w:val="18"/>
              </w:rPr>
              <w:t>评价重点</w:t>
            </w:r>
          </w:p>
        </w:tc>
      </w:tr>
      <w:tr>
        <w:tc>
          <w:tcPr>
            <w:tcW w:type="dxa" w:w="3324"/>
            <w:vAlign w:val="center"/>
          </w:tcPr>
          <w:p>
            <w:r>
              <w:rPr>
                <w:rFonts w:ascii="微软雅黑" w:hAnsi="微软雅黑" w:eastAsia="微软雅黑"/>
                <w:sz w:val="18"/>
              </w:rPr>
              <w:t>标题与基本信息</w:t>
            </w:r>
          </w:p>
        </w:tc>
        <w:tc>
          <w:tcPr>
            <w:tcW w:type="dxa" w:w="3324"/>
            <w:vAlign w:val="center"/>
          </w:tcPr>
          <w:p>
            <w:r>
              <w:rPr>
                <w:rFonts w:ascii="微软雅黑" w:hAnsi="微软雅黑" w:eastAsia="微软雅黑"/>
                <w:sz w:val="18"/>
              </w:rPr>
              <w:t>实验名称、班级、姓名、日期、平台版本。</w:t>
            </w:r>
          </w:p>
        </w:tc>
        <w:tc>
          <w:tcPr>
            <w:tcW w:type="dxa" w:w="3324"/>
            <w:vAlign w:val="center"/>
          </w:tcPr>
          <w:p>
            <w:r>
              <w:rPr>
                <w:rFonts w:ascii="微软雅黑" w:hAnsi="微软雅黑" w:eastAsia="微软雅黑"/>
                <w:sz w:val="18"/>
              </w:rPr>
              <w:t>信息完整、格式统一。</w:t>
            </w:r>
          </w:p>
        </w:tc>
      </w:tr>
      <w:tr>
        <w:tc>
          <w:tcPr>
            <w:tcW w:type="dxa" w:w="3324"/>
            <w:vAlign w:val="center"/>
          </w:tcPr>
          <w:p>
            <w:r>
              <w:rPr>
                <w:rFonts w:ascii="微软雅黑" w:hAnsi="微软雅黑" w:eastAsia="微软雅黑"/>
                <w:sz w:val="18"/>
              </w:rPr>
              <w:t>实验目的</w:t>
            </w:r>
          </w:p>
        </w:tc>
        <w:tc>
          <w:tcPr>
            <w:tcW w:type="dxa" w:w="3324"/>
            <w:vAlign w:val="center"/>
          </w:tcPr>
          <w:p>
            <w:r>
              <w:rPr>
                <w:rFonts w:ascii="微软雅黑" w:hAnsi="微软雅黑" w:eastAsia="微软雅黑"/>
                <w:sz w:val="18"/>
              </w:rPr>
              <w:t>四类放电观察、帕邢定律验证、双探针诊断目标。</w:t>
            </w:r>
          </w:p>
        </w:tc>
        <w:tc>
          <w:tcPr>
            <w:tcW w:type="dxa" w:w="3324"/>
            <w:vAlign w:val="center"/>
          </w:tcPr>
          <w:p>
            <w:r>
              <w:rPr>
                <w:rFonts w:ascii="微软雅黑" w:hAnsi="微软雅黑" w:eastAsia="微软雅黑"/>
                <w:sz w:val="18"/>
              </w:rPr>
              <w:t>目标与后文数据对应。</w:t>
            </w:r>
          </w:p>
        </w:tc>
      </w:tr>
      <w:tr>
        <w:tc>
          <w:tcPr>
            <w:tcW w:type="dxa" w:w="3324"/>
            <w:vAlign w:val="center"/>
          </w:tcPr>
          <w:p>
            <w:r>
              <w:rPr>
                <w:rFonts w:ascii="微软雅黑" w:hAnsi="微软雅黑" w:eastAsia="微软雅黑"/>
                <w:sz w:val="18"/>
              </w:rPr>
              <w:t>实验原理</w:t>
            </w:r>
          </w:p>
        </w:tc>
        <w:tc>
          <w:tcPr>
            <w:tcW w:type="dxa" w:w="3324"/>
            <w:vAlign w:val="center"/>
          </w:tcPr>
          <w:p>
            <w:r>
              <w:rPr>
                <w:rFonts w:ascii="微软雅黑" w:hAnsi="微软雅黑" w:eastAsia="微软雅黑"/>
                <w:sz w:val="18"/>
              </w:rPr>
              <w:t>气体击穿、帕邢定律、放电类型、双探针公式。</w:t>
            </w:r>
          </w:p>
        </w:tc>
        <w:tc>
          <w:tcPr>
            <w:tcW w:type="dxa" w:w="3324"/>
            <w:vAlign w:val="center"/>
          </w:tcPr>
          <w:p>
            <w:r>
              <w:rPr>
                <w:rFonts w:ascii="微软雅黑" w:hAnsi="微软雅黑" w:eastAsia="微软雅黑"/>
                <w:sz w:val="18"/>
              </w:rPr>
              <w:t>概念准确、公式符号清晰。</w:t>
            </w:r>
          </w:p>
        </w:tc>
      </w:tr>
      <w:tr>
        <w:tc>
          <w:tcPr>
            <w:tcW w:type="dxa" w:w="3324"/>
            <w:vAlign w:val="center"/>
          </w:tcPr>
          <w:p>
            <w:r>
              <w:rPr>
                <w:rFonts w:ascii="微软雅黑" w:hAnsi="微软雅黑" w:eastAsia="微软雅黑"/>
                <w:sz w:val="18"/>
              </w:rPr>
              <w:t>实验仪器与平台</w:t>
            </w:r>
          </w:p>
        </w:tc>
        <w:tc>
          <w:tcPr>
            <w:tcW w:type="dxa" w:w="3324"/>
            <w:vAlign w:val="center"/>
          </w:tcPr>
          <w:p>
            <w:r>
              <w:rPr>
                <w:rFonts w:ascii="微软雅黑" w:hAnsi="微软雅黑" w:eastAsia="微软雅黑"/>
                <w:sz w:val="18"/>
              </w:rPr>
              <w:t>虚拟平台、三维模型、参数控制项、数据导出功能。</w:t>
            </w:r>
          </w:p>
        </w:tc>
        <w:tc>
          <w:tcPr>
            <w:tcW w:type="dxa" w:w="3324"/>
            <w:vAlign w:val="center"/>
          </w:tcPr>
          <w:p>
            <w:r>
              <w:rPr>
                <w:rFonts w:ascii="微软雅黑" w:hAnsi="微软雅黑" w:eastAsia="微软雅黑"/>
                <w:sz w:val="18"/>
              </w:rPr>
              <w:t>真实仪器与虚拟功能对应明确。</w:t>
            </w:r>
          </w:p>
        </w:tc>
      </w:tr>
      <w:tr>
        <w:tc>
          <w:tcPr>
            <w:tcW w:type="dxa" w:w="3324"/>
            <w:vAlign w:val="center"/>
          </w:tcPr>
          <w:p>
            <w:r>
              <w:rPr>
                <w:rFonts w:ascii="微软雅黑" w:hAnsi="微软雅黑" w:eastAsia="微软雅黑"/>
                <w:sz w:val="18"/>
              </w:rPr>
              <w:t>实验步骤</w:t>
            </w:r>
          </w:p>
        </w:tc>
        <w:tc>
          <w:tcPr>
            <w:tcW w:type="dxa" w:w="3324"/>
            <w:vAlign w:val="center"/>
          </w:tcPr>
          <w:p>
            <w:r>
              <w:rPr>
                <w:rFonts w:ascii="微软雅黑" w:hAnsi="微软雅黑" w:eastAsia="微软雅黑"/>
                <w:sz w:val="18"/>
              </w:rPr>
              <w:t>按时间顺序记录参数设置、启动放电、采集数据和导出结果。</w:t>
            </w:r>
          </w:p>
        </w:tc>
        <w:tc>
          <w:tcPr>
            <w:tcW w:type="dxa" w:w="3324"/>
            <w:vAlign w:val="center"/>
          </w:tcPr>
          <w:p>
            <w:r>
              <w:rPr>
                <w:rFonts w:ascii="微软雅黑" w:hAnsi="微软雅黑" w:eastAsia="微软雅黑"/>
                <w:sz w:val="18"/>
              </w:rPr>
              <w:t>过程可复现。</w:t>
            </w:r>
          </w:p>
        </w:tc>
      </w:tr>
      <w:tr>
        <w:tc>
          <w:tcPr>
            <w:tcW w:type="dxa" w:w="3324"/>
            <w:vAlign w:val="center"/>
          </w:tcPr>
          <w:p>
            <w:r>
              <w:rPr>
                <w:rFonts w:ascii="微软雅黑" w:hAnsi="微软雅黑" w:eastAsia="微软雅黑"/>
                <w:sz w:val="18"/>
              </w:rPr>
              <w:t>数据记录</w:t>
            </w:r>
          </w:p>
        </w:tc>
        <w:tc>
          <w:tcPr>
            <w:tcW w:type="dxa" w:w="3324"/>
            <w:vAlign w:val="center"/>
          </w:tcPr>
          <w:p>
            <w:r>
              <w:rPr>
                <w:rFonts w:ascii="微软雅黑" w:hAnsi="微软雅黑" w:eastAsia="微软雅黑"/>
                <w:sz w:val="18"/>
              </w:rPr>
              <w:t>p、d、pd、Ub 或 Up、Ip 原始数据。</w:t>
            </w:r>
          </w:p>
        </w:tc>
        <w:tc>
          <w:tcPr>
            <w:tcW w:type="dxa" w:w="3324"/>
            <w:vAlign w:val="center"/>
          </w:tcPr>
          <w:p>
            <w:r>
              <w:rPr>
                <w:rFonts w:ascii="微软雅黑" w:hAnsi="微软雅黑" w:eastAsia="微软雅黑"/>
                <w:sz w:val="18"/>
              </w:rPr>
              <w:t>单位完整、有效数字合理。</w:t>
            </w:r>
          </w:p>
        </w:tc>
      </w:tr>
      <w:tr>
        <w:tc>
          <w:tcPr>
            <w:tcW w:type="dxa" w:w="3324"/>
            <w:vAlign w:val="center"/>
          </w:tcPr>
          <w:p>
            <w:r>
              <w:rPr>
                <w:rFonts w:ascii="微软雅黑" w:hAnsi="微软雅黑" w:eastAsia="微软雅黑"/>
                <w:sz w:val="18"/>
              </w:rPr>
              <w:t>结果处理</w:t>
            </w:r>
          </w:p>
        </w:tc>
        <w:tc>
          <w:tcPr>
            <w:tcW w:type="dxa" w:w="3324"/>
            <w:vAlign w:val="center"/>
          </w:tcPr>
          <w:p>
            <w:r>
              <w:rPr>
                <w:rFonts w:ascii="微软雅黑" w:hAnsi="微软雅黑" w:eastAsia="微软雅黑"/>
                <w:sz w:val="18"/>
              </w:rPr>
              <w:t>绘制 Ub-pd 曲线或 I-V 曲线，计算 Te 和 ne。</w:t>
            </w:r>
          </w:p>
        </w:tc>
        <w:tc>
          <w:tcPr>
            <w:tcW w:type="dxa" w:w="3324"/>
            <w:vAlign w:val="center"/>
          </w:tcPr>
          <w:p>
            <w:r>
              <w:rPr>
                <w:rFonts w:ascii="微软雅黑" w:hAnsi="微软雅黑" w:eastAsia="微软雅黑"/>
                <w:sz w:val="18"/>
              </w:rPr>
              <w:t>图像规范、分析具有物理解释。</w:t>
            </w:r>
          </w:p>
        </w:tc>
      </w:tr>
      <w:tr>
        <w:tc>
          <w:tcPr>
            <w:tcW w:type="dxa" w:w="3324"/>
            <w:vAlign w:val="center"/>
          </w:tcPr>
          <w:p>
            <w:r>
              <w:rPr>
                <w:rFonts w:ascii="微软雅黑" w:hAnsi="微软雅黑" w:eastAsia="微软雅黑"/>
                <w:sz w:val="18"/>
              </w:rPr>
              <w:t>误差分析</w:t>
            </w:r>
          </w:p>
        </w:tc>
        <w:tc>
          <w:tcPr>
            <w:tcW w:type="dxa" w:w="3324"/>
            <w:vAlign w:val="center"/>
          </w:tcPr>
          <w:p>
            <w:r>
              <w:rPr>
                <w:rFonts w:ascii="微软雅黑" w:hAnsi="微软雅黑" w:eastAsia="微软雅黑"/>
                <w:sz w:val="18"/>
              </w:rPr>
              <w:t>气压读数、极间距、环境温湿度、模型校准和操作因素。</w:t>
            </w:r>
          </w:p>
        </w:tc>
        <w:tc>
          <w:tcPr>
            <w:tcW w:type="dxa" w:w="3324"/>
            <w:vAlign w:val="center"/>
          </w:tcPr>
          <w:p>
            <w:r>
              <w:rPr>
                <w:rFonts w:ascii="微软雅黑" w:hAnsi="微软雅黑" w:eastAsia="微软雅黑"/>
                <w:sz w:val="18"/>
              </w:rPr>
              <w:t>能区分理论模型与实验现实。</w:t>
            </w:r>
          </w:p>
        </w:tc>
      </w:tr>
      <w:tr>
        <w:tc>
          <w:tcPr>
            <w:tcW w:type="dxa" w:w="3324"/>
            <w:vAlign w:val="center"/>
          </w:tcPr>
          <w:p>
            <w:r>
              <w:rPr>
                <w:rFonts w:ascii="微软雅黑" w:hAnsi="微软雅黑" w:eastAsia="微软雅黑"/>
                <w:sz w:val="18"/>
              </w:rPr>
              <w:t>结论</w:t>
            </w:r>
          </w:p>
        </w:tc>
        <w:tc>
          <w:tcPr>
            <w:tcW w:type="dxa" w:w="3324"/>
            <w:vAlign w:val="center"/>
          </w:tcPr>
          <w:p>
            <w:r>
              <w:rPr>
                <w:rFonts w:ascii="微软雅黑" w:hAnsi="微软雅黑" w:eastAsia="微软雅黑"/>
                <w:sz w:val="18"/>
              </w:rPr>
              <w:t>概括放电规律、曲线特征和诊断结果。</w:t>
            </w:r>
          </w:p>
        </w:tc>
        <w:tc>
          <w:tcPr>
            <w:tcW w:type="dxa" w:w="3324"/>
            <w:vAlign w:val="center"/>
          </w:tcPr>
          <w:p>
            <w:r>
              <w:rPr>
                <w:rFonts w:ascii="微软雅黑" w:hAnsi="微软雅黑" w:eastAsia="微软雅黑"/>
                <w:sz w:val="18"/>
              </w:rPr>
              <w:t>结论由数据支撑。</w:t>
            </w:r>
          </w:p>
        </w:tc>
      </w:tr>
    </w:tbl>
    <w:p>
      <w:pPr>
        <w:pStyle w:val="Heading2"/>
      </w:pPr>
      <w:r>
        <w:t>数据表模板</w:t>
      </w:r>
    </w:p>
    <w:tbl>
      <w:tblPr>
        <w:tblStyle w:val="TableGrid"/>
        <w:tblW w:type="auto" w:w="0"/>
        <w:jc w:val="center"/>
        <w:tblLook w:firstColumn="1" w:firstRow="1" w:lastColumn="0" w:lastRow="0" w:noHBand="0" w:noVBand="1" w:val="04A0"/>
      </w:tblPr>
      <w:tblGrid>
        <w:gridCol w:w="2493"/>
        <w:gridCol w:w="2493"/>
        <w:gridCol w:w="2493"/>
        <w:gridCol w:w="2493"/>
      </w:tblGrid>
      <w:tr>
        <w:tc>
          <w:tcPr>
            <w:tcW w:type="dxa" w:w="2493"/>
            <w:vAlign w:val="center"/>
            <w:shd w:fill="1F4E79"/>
          </w:tcPr>
          <w:p>
            <w:pPr>
              <w:jc w:val="center"/>
            </w:pPr>
            <w:r>
              <w:rPr>
                <w:rFonts w:ascii="微软雅黑" w:hAnsi="微软雅黑" w:eastAsia="微软雅黑"/>
                <w:b/>
                <w:color w:val="FFFFFF"/>
                <w:sz w:val="18"/>
              </w:rPr>
              <w:t>p/Pa</w:t>
            </w:r>
          </w:p>
        </w:tc>
        <w:tc>
          <w:tcPr>
            <w:tcW w:type="dxa" w:w="2493"/>
            <w:vAlign w:val="center"/>
            <w:shd w:fill="1F4E79"/>
          </w:tcPr>
          <w:p>
            <w:pPr>
              <w:jc w:val="center"/>
            </w:pPr>
            <w:r>
              <w:rPr>
                <w:rFonts w:ascii="微软雅黑" w:hAnsi="微软雅黑" w:eastAsia="微软雅黑"/>
                <w:b/>
                <w:color w:val="FFFFFF"/>
                <w:sz w:val="18"/>
              </w:rPr>
              <w:t>d/mm</w:t>
            </w:r>
          </w:p>
        </w:tc>
        <w:tc>
          <w:tcPr>
            <w:tcW w:type="dxa" w:w="2493"/>
            <w:vAlign w:val="center"/>
            <w:shd w:fill="1F4E79"/>
          </w:tcPr>
          <w:p>
            <w:pPr>
              <w:jc w:val="center"/>
            </w:pPr>
            <w:r>
              <w:rPr>
                <w:rFonts w:ascii="微软雅黑" w:hAnsi="微软雅黑" w:eastAsia="微软雅黑"/>
                <w:b/>
                <w:color w:val="FFFFFF"/>
                <w:sz w:val="18"/>
              </w:rPr>
              <w:t>pd/(Pa·m)</w:t>
            </w:r>
          </w:p>
        </w:tc>
        <w:tc>
          <w:tcPr>
            <w:tcW w:type="dxa" w:w="2493"/>
            <w:vAlign w:val="center"/>
            <w:shd w:fill="1F4E79"/>
          </w:tcPr>
          <w:p>
            <w:pPr>
              <w:jc w:val="center"/>
            </w:pPr>
            <w:r>
              <w:rPr>
                <w:rFonts w:ascii="微软雅黑" w:hAnsi="微软雅黑" w:eastAsia="微软雅黑"/>
                <w:b/>
                <w:color w:val="FFFFFF"/>
                <w:sz w:val="18"/>
              </w:rPr>
              <w:t>Ub/V</w:t>
            </w:r>
          </w:p>
        </w:tc>
      </w:tr>
      <w:tr>
        <w:tc>
          <w:tcPr>
            <w:tcW w:type="dxa" w:w="2493"/>
            <w:vAlign w:val="center"/>
          </w:tcPr>
          <w:p>
            <w:r>
              <w:rPr>
                <w:rFonts w:ascii="微软雅黑" w:hAnsi="微软雅黑" w:eastAsia="微软雅黑"/>
                <w:sz w:val="18"/>
              </w:rPr>
            </w:r>
          </w:p>
        </w:tc>
        <w:tc>
          <w:tcPr>
            <w:tcW w:type="dxa" w:w="2493"/>
            <w:vAlign w:val="center"/>
          </w:tcPr>
          <w:p>
            <w:r>
              <w:rPr>
                <w:rFonts w:ascii="微软雅黑" w:hAnsi="微软雅黑" w:eastAsia="微软雅黑"/>
                <w:sz w:val="18"/>
              </w:rPr>
            </w:r>
          </w:p>
        </w:tc>
        <w:tc>
          <w:tcPr>
            <w:tcW w:type="dxa" w:w="2493"/>
            <w:vAlign w:val="center"/>
          </w:tcPr>
          <w:p>
            <w:r>
              <w:rPr>
                <w:rFonts w:ascii="微软雅黑" w:hAnsi="微软雅黑" w:eastAsia="微软雅黑"/>
                <w:sz w:val="18"/>
              </w:rPr>
            </w:r>
          </w:p>
        </w:tc>
        <w:tc>
          <w:tcPr>
            <w:tcW w:type="dxa" w:w="2493"/>
            <w:vAlign w:val="center"/>
          </w:tcPr>
          <w:p>
            <w:r>
              <w:rPr>
                <w:rFonts w:ascii="微软雅黑" w:hAnsi="微软雅黑" w:eastAsia="微软雅黑"/>
                <w:sz w:val="18"/>
              </w:rPr>
            </w:r>
          </w:p>
        </w:tc>
      </w:tr>
      <w:tr>
        <w:tc>
          <w:tcPr>
            <w:tcW w:type="dxa" w:w="2493"/>
            <w:vAlign w:val="center"/>
          </w:tcPr>
          <w:p>
            <w:r>
              <w:rPr>
                <w:rFonts w:ascii="微软雅黑" w:hAnsi="微软雅黑" w:eastAsia="微软雅黑"/>
                <w:sz w:val="18"/>
              </w:rPr>
            </w:r>
          </w:p>
        </w:tc>
        <w:tc>
          <w:tcPr>
            <w:tcW w:type="dxa" w:w="2493"/>
            <w:vAlign w:val="center"/>
          </w:tcPr>
          <w:p>
            <w:r>
              <w:rPr>
                <w:rFonts w:ascii="微软雅黑" w:hAnsi="微软雅黑" w:eastAsia="微软雅黑"/>
                <w:sz w:val="18"/>
              </w:rPr>
            </w:r>
          </w:p>
        </w:tc>
        <w:tc>
          <w:tcPr>
            <w:tcW w:type="dxa" w:w="2493"/>
            <w:vAlign w:val="center"/>
          </w:tcPr>
          <w:p>
            <w:r>
              <w:rPr>
                <w:rFonts w:ascii="微软雅黑" w:hAnsi="微软雅黑" w:eastAsia="微软雅黑"/>
                <w:sz w:val="18"/>
              </w:rPr>
            </w:r>
          </w:p>
        </w:tc>
        <w:tc>
          <w:tcPr>
            <w:tcW w:type="dxa" w:w="2493"/>
            <w:vAlign w:val="center"/>
          </w:tcPr>
          <w:p>
            <w:r>
              <w:rPr>
                <w:rFonts w:ascii="微软雅黑" w:hAnsi="微软雅黑" w:eastAsia="微软雅黑"/>
                <w:sz w:val="18"/>
              </w:rPr>
            </w:r>
          </w:p>
        </w:tc>
      </w:tr>
      <w:tr>
        <w:tc>
          <w:tcPr>
            <w:tcW w:type="dxa" w:w="2493"/>
            <w:vAlign w:val="center"/>
          </w:tcPr>
          <w:p>
            <w:r>
              <w:rPr>
                <w:rFonts w:ascii="微软雅黑" w:hAnsi="微软雅黑" w:eastAsia="微软雅黑"/>
                <w:sz w:val="18"/>
              </w:rPr>
            </w:r>
          </w:p>
        </w:tc>
        <w:tc>
          <w:tcPr>
            <w:tcW w:type="dxa" w:w="2493"/>
            <w:vAlign w:val="center"/>
          </w:tcPr>
          <w:p>
            <w:r>
              <w:rPr>
                <w:rFonts w:ascii="微软雅黑" w:hAnsi="微软雅黑" w:eastAsia="微软雅黑"/>
                <w:sz w:val="18"/>
              </w:rPr>
            </w:r>
          </w:p>
        </w:tc>
        <w:tc>
          <w:tcPr>
            <w:tcW w:type="dxa" w:w="2493"/>
            <w:vAlign w:val="center"/>
          </w:tcPr>
          <w:p>
            <w:r>
              <w:rPr>
                <w:rFonts w:ascii="微软雅黑" w:hAnsi="微软雅黑" w:eastAsia="微软雅黑"/>
                <w:sz w:val="18"/>
              </w:rPr>
            </w:r>
          </w:p>
        </w:tc>
        <w:tc>
          <w:tcPr>
            <w:tcW w:type="dxa" w:w="2493"/>
            <w:vAlign w:val="center"/>
          </w:tcPr>
          <w:p>
            <w:r>
              <w:rPr>
                <w:rFonts w:ascii="微软雅黑" w:hAnsi="微软雅黑" w:eastAsia="微软雅黑"/>
                <w:sz w:val="18"/>
              </w:rPr>
            </w:r>
          </w:p>
        </w:tc>
      </w:tr>
    </w:tbl>
    <w:p>
      <w:pPr>
        <w:spacing w:after="120"/>
        <w:jc w:val="center"/>
      </w:pPr>
      <w:r>
        <w:rPr>
          <w:rFonts w:ascii="微软雅黑" w:hAnsi="微软雅黑" w:eastAsia="微软雅黑"/>
          <w:color w:val="595959"/>
          <w:sz w:val="18"/>
        </w:rPr>
        <w:t>帕邢定律验证数据表</w:t>
      </w:r>
    </w:p>
    <w:tbl>
      <w:tblPr>
        <w:tblStyle w:val="TableGrid"/>
        <w:tblW w:type="auto" w:w="0"/>
        <w:jc w:val="center"/>
        <w:tblLook w:firstColumn="1" w:firstRow="1" w:lastColumn="0" w:lastRow="0" w:noHBand="0" w:noVBand="1" w:val="04A0"/>
      </w:tblPr>
      <w:tblGrid>
        <w:gridCol w:w="4986"/>
        <w:gridCol w:w="4986"/>
      </w:tblGrid>
      <w:tr>
        <w:tc>
          <w:tcPr>
            <w:tcW w:type="dxa" w:w="4986"/>
            <w:vAlign w:val="center"/>
            <w:shd w:fill="1F4E79"/>
          </w:tcPr>
          <w:p>
            <w:pPr>
              <w:jc w:val="center"/>
            </w:pPr>
            <w:r>
              <w:rPr>
                <w:rFonts w:ascii="微软雅黑" w:hAnsi="微软雅黑" w:eastAsia="微软雅黑"/>
                <w:b/>
                <w:color w:val="FFFFFF"/>
                <w:sz w:val="18"/>
              </w:rPr>
              <w:t>Up/V</w:t>
            </w:r>
          </w:p>
        </w:tc>
        <w:tc>
          <w:tcPr>
            <w:tcW w:type="dxa" w:w="4986"/>
            <w:vAlign w:val="center"/>
            <w:shd w:fill="1F4E79"/>
          </w:tcPr>
          <w:p>
            <w:pPr>
              <w:jc w:val="center"/>
            </w:pPr>
            <w:r>
              <w:rPr>
                <w:rFonts w:ascii="微软雅黑" w:hAnsi="微软雅黑" w:eastAsia="微软雅黑"/>
                <w:b/>
                <w:color w:val="FFFFFF"/>
                <w:sz w:val="18"/>
              </w:rPr>
              <w:t>Ip/μA</w:t>
            </w:r>
          </w:p>
        </w:tc>
      </w:tr>
      <w:tr>
        <w:tc>
          <w:tcPr>
            <w:tcW w:type="dxa" w:w="4986"/>
            <w:vAlign w:val="center"/>
          </w:tcPr>
          <w:p>
            <w:r>
              <w:rPr>
                <w:rFonts w:ascii="微软雅黑" w:hAnsi="微软雅黑" w:eastAsia="微软雅黑"/>
                <w:sz w:val="18"/>
              </w:rPr>
            </w:r>
          </w:p>
        </w:tc>
        <w:tc>
          <w:tcPr>
            <w:tcW w:type="dxa" w:w="4986"/>
            <w:vAlign w:val="center"/>
          </w:tcPr>
          <w:p>
            <w:r>
              <w:rPr>
                <w:rFonts w:ascii="微软雅黑" w:hAnsi="微软雅黑" w:eastAsia="微软雅黑"/>
                <w:sz w:val="18"/>
              </w:rPr>
            </w:r>
          </w:p>
        </w:tc>
      </w:tr>
      <w:tr>
        <w:tc>
          <w:tcPr>
            <w:tcW w:type="dxa" w:w="4986"/>
            <w:vAlign w:val="center"/>
          </w:tcPr>
          <w:p>
            <w:r>
              <w:rPr>
                <w:rFonts w:ascii="微软雅黑" w:hAnsi="微软雅黑" w:eastAsia="微软雅黑"/>
                <w:sz w:val="18"/>
              </w:rPr>
            </w:r>
          </w:p>
        </w:tc>
        <w:tc>
          <w:tcPr>
            <w:tcW w:type="dxa" w:w="4986"/>
            <w:vAlign w:val="center"/>
          </w:tcPr>
          <w:p>
            <w:r>
              <w:rPr>
                <w:rFonts w:ascii="微软雅黑" w:hAnsi="微软雅黑" w:eastAsia="微软雅黑"/>
                <w:sz w:val="18"/>
              </w:rPr>
            </w:r>
          </w:p>
        </w:tc>
      </w:tr>
      <w:tr>
        <w:tc>
          <w:tcPr>
            <w:tcW w:type="dxa" w:w="4986"/>
            <w:vAlign w:val="center"/>
          </w:tcPr>
          <w:p>
            <w:r>
              <w:rPr>
                <w:rFonts w:ascii="微软雅黑" w:hAnsi="微软雅黑" w:eastAsia="微软雅黑"/>
                <w:sz w:val="18"/>
              </w:rPr>
            </w:r>
          </w:p>
        </w:tc>
        <w:tc>
          <w:tcPr>
            <w:tcW w:type="dxa" w:w="4986"/>
            <w:vAlign w:val="center"/>
          </w:tcPr>
          <w:p>
            <w:r>
              <w:rPr>
                <w:rFonts w:ascii="微软雅黑" w:hAnsi="微软雅黑" w:eastAsia="微软雅黑"/>
                <w:sz w:val="18"/>
              </w:rPr>
            </w:r>
          </w:p>
        </w:tc>
      </w:tr>
    </w:tbl>
    <w:p>
      <w:pPr>
        <w:spacing w:after="120"/>
        <w:jc w:val="center"/>
      </w:pPr>
      <w:r>
        <w:rPr>
          <w:rFonts w:ascii="微软雅黑" w:hAnsi="微软雅黑" w:eastAsia="微软雅黑"/>
          <w:color w:val="595959"/>
          <w:sz w:val="18"/>
        </w:rPr>
        <w:t>朗缪尔双探针数据表</w:t>
      </w:r>
    </w:p>
    <w:p>
      <w:pPr>
        <w:pStyle w:val="Heading1"/>
      </w:pPr>
      <w:r>
        <w:t>十、教学评价</w:t>
      </w:r>
    </w:p>
    <w:p>
      <w:pPr>
        <w:spacing w:line="300" w:lineRule="auto" w:after="120"/>
        <w:jc w:val="both"/>
      </w:pPr>
      <w:r>
        <w:rPr>
          <w:rFonts w:ascii="微软雅黑" w:hAnsi="微软雅黑" w:eastAsia="微软雅黑"/>
          <w:sz w:val="21"/>
        </w:rPr>
        <w:t>教学评价从安全意识、原理理解、平台操作、数据处理、结果表达和拓展反思六个方面展开。评价对象不仅包括最终曲线和报告结果，也包括参数设置是否合理、操作过程是否规范、物理解释是否自洽。</w:t>
      </w:r>
    </w:p>
    <w:tbl>
      <w:tblPr>
        <w:tblStyle w:val="TableGrid"/>
        <w:tblW w:type="auto" w:w="0"/>
        <w:jc w:val="center"/>
        <w:tblLook w:firstColumn="1" w:firstRow="1" w:lastColumn="0" w:lastRow="0" w:noHBand="0" w:noVBand="1" w:val="04A0"/>
      </w:tblPr>
      <w:tblGrid>
        <w:gridCol w:w="2493"/>
        <w:gridCol w:w="2493"/>
        <w:gridCol w:w="2493"/>
        <w:gridCol w:w="2493"/>
      </w:tblGrid>
      <w:tr>
        <w:trPr>
          <w:tblHeader w:val="true"/>
        </w:trPr>
        <w:tc>
          <w:tcPr>
            <w:tcW w:type="dxa" w:w="2493"/>
            <w:vAlign w:val="center"/>
            <w:shd w:fill="1F4E79"/>
          </w:tcPr>
          <w:p>
            <w:pPr>
              <w:jc w:val="center"/>
            </w:pPr>
            <w:r>
              <w:rPr>
                <w:rFonts w:ascii="微软雅黑" w:hAnsi="微软雅黑" w:eastAsia="微软雅黑"/>
                <w:b/>
                <w:color w:val="FFFFFF"/>
                <w:sz w:val="18"/>
              </w:rPr>
              <w:t>评价维度</w:t>
            </w:r>
          </w:p>
        </w:tc>
        <w:tc>
          <w:tcPr>
            <w:tcW w:type="dxa" w:w="2493"/>
            <w:vAlign w:val="center"/>
            <w:shd w:fill="1F4E79"/>
          </w:tcPr>
          <w:p>
            <w:pPr>
              <w:jc w:val="center"/>
            </w:pPr>
            <w:r>
              <w:rPr>
                <w:rFonts w:ascii="微软雅黑" w:hAnsi="微软雅黑" w:eastAsia="微软雅黑"/>
                <w:b/>
                <w:color w:val="FFFFFF"/>
                <w:sz w:val="18"/>
              </w:rPr>
              <w:t>评价内容</w:t>
            </w:r>
          </w:p>
        </w:tc>
        <w:tc>
          <w:tcPr>
            <w:tcW w:type="dxa" w:w="2493"/>
            <w:vAlign w:val="center"/>
            <w:shd w:fill="1F4E79"/>
          </w:tcPr>
          <w:p>
            <w:pPr>
              <w:jc w:val="center"/>
            </w:pPr>
            <w:r>
              <w:rPr>
                <w:rFonts w:ascii="微软雅黑" w:hAnsi="微软雅黑" w:eastAsia="微软雅黑"/>
                <w:b/>
                <w:color w:val="FFFFFF"/>
                <w:sz w:val="18"/>
              </w:rPr>
              <w:t>分值</w:t>
            </w:r>
          </w:p>
        </w:tc>
        <w:tc>
          <w:tcPr>
            <w:tcW w:type="dxa" w:w="2493"/>
            <w:vAlign w:val="center"/>
            <w:shd w:fill="1F4E79"/>
          </w:tcPr>
          <w:p>
            <w:pPr>
              <w:jc w:val="center"/>
            </w:pPr>
            <w:r>
              <w:rPr>
                <w:rFonts w:ascii="微软雅黑" w:hAnsi="微软雅黑" w:eastAsia="微软雅黑"/>
                <w:b/>
                <w:color w:val="FFFFFF"/>
                <w:sz w:val="18"/>
              </w:rPr>
              <w:t>评分点</w:t>
            </w:r>
          </w:p>
        </w:tc>
      </w:tr>
      <w:tr>
        <w:tc>
          <w:tcPr>
            <w:tcW w:type="dxa" w:w="2493"/>
            <w:vAlign w:val="center"/>
          </w:tcPr>
          <w:p>
            <w:r>
              <w:rPr>
                <w:rFonts w:ascii="微软雅黑" w:hAnsi="微软雅黑" w:eastAsia="微软雅黑"/>
                <w:sz w:val="18"/>
              </w:rPr>
              <w:t>安全意识</w:t>
            </w:r>
          </w:p>
        </w:tc>
        <w:tc>
          <w:tcPr>
            <w:tcW w:type="dxa" w:w="2493"/>
            <w:vAlign w:val="center"/>
          </w:tcPr>
          <w:p>
            <w:r>
              <w:rPr>
                <w:rFonts w:ascii="微软雅黑" w:hAnsi="微软雅黑" w:eastAsia="微软雅黑"/>
                <w:sz w:val="18"/>
              </w:rPr>
              <w:t>高压、接地、真空、探针和电极安全边界。</w:t>
            </w:r>
          </w:p>
        </w:tc>
        <w:tc>
          <w:tcPr>
            <w:tcW w:type="dxa" w:w="2493"/>
            <w:vAlign w:val="center"/>
          </w:tcPr>
          <w:p>
            <w:r>
              <w:rPr>
                <w:rFonts w:ascii="微软雅黑" w:hAnsi="微软雅黑" w:eastAsia="微软雅黑"/>
                <w:sz w:val="18"/>
              </w:rPr>
              <w:t>15</w:t>
            </w:r>
          </w:p>
        </w:tc>
        <w:tc>
          <w:tcPr>
            <w:tcW w:type="dxa" w:w="2493"/>
            <w:vAlign w:val="center"/>
          </w:tcPr>
          <w:p>
            <w:r>
              <w:rPr>
                <w:rFonts w:ascii="微软雅黑" w:hAnsi="微软雅黑" w:eastAsia="微软雅黑"/>
                <w:sz w:val="18"/>
              </w:rPr>
              <w:t>能识别风险并按流程操作。</w:t>
            </w:r>
          </w:p>
        </w:tc>
      </w:tr>
      <w:tr>
        <w:tc>
          <w:tcPr>
            <w:tcW w:type="dxa" w:w="2493"/>
            <w:vAlign w:val="center"/>
          </w:tcPr>
          <w:p>
            <w:r>
              <w:rPr>
                <w:rFonts w:ascii="微软雅黑" w:hAnsi="微软雅黑" w:eastAsia="微软雅黑"/>
                <w:sz w:val="18"/>
              </w:rPr>
              <w:t>原理理解</w:t>
            </w:r>
          </w:p>
        </w:tc>
        <w:tc>
          <w:tcPr>
            <w:tcW w:type="dxa" w:w="2493"/>
            <w:vAlign w:val="center"/>
          </w:tcPr>
          <w:p>
            <w:r>
              <w:rPr>
                <w:rFonts w:ascii="微软雅黑" w:hAnsi="微软雅黑" w:eastAsia="微软雅黑"/>
                <w:sz w:val="18"/>
              </w:rPr>
              <w:t>气体击穿、帕邢定律、四类放电、双探针诊断。</w:t>
            </w:r>
          </w:p>
        </w:tc>
        <w:tc>
          <w:tcPr>
            <w:tcW w:type="dxa" w:w="2493"/>
            <w:vAlign w:val="center"/>
          </w:tcPr>
          <w:p>
            <w:r>
              <w:rPr>
                <w:rFonts w:ascii="微软雅黑" w:hAnsi="微软雅黑" w:eastAsia="微软雅黑"/>
                <w:sz w:val="18"/>
              </w:rPr>
              <w:t>20</w:t>
            </w:r>
          </w:p>
        </w:tc>
        <w:tc>
          <w:tcPr>
            <w:tcW w:type="dxa" w:w="2493"/>
            <w:vAlign w:val="center"/>
          </w:tcPr>
          <w:p>
            <w:r>
              <w:rPr>
                <w:rFonts w:ascii="微软雅黑" w:hAnsi="微软雅黑" w:eastAsia="微软雅黑"/>
                <w:sz w:val="18"/>
              </w:rPr>
              <w:t>概念准确，能解释参数变化的物理原因。</w:t>
            </w:r>
          </w:p>
        </w:tc>
      </w:tr>
      <w:tr>
        <w:tc>
          <w:tcPr>
            <w:tcW w:type="dxa" w:w="2493"/>
            <w:vAlign w:val="center"/>
          </w:tcPr>
          <w:p>
            <w:r>
              <w:rPr>
                <w:rFonts w:ascii="微软雅黑" w:hAnsi="微软雅黑" w:eastAsia="微软雅黑"/>
                <w:sz w:val="18"/>
              </w:rPr>
              <w:t>平台操作</w:t>
            </w:r>
          </w:p>
        </w:tc>
        <w:tc>
          <w:tcPr>
            <w:tcW w:type="dxa" w:w="2493"/>
            <w:vAlign w:val="center"/>
          </w:tcPr>
          <w:p>
            <w:r>
              <w:rPr>
                <w:rFonts w:ascii="微软雅黑" w:hAnsi="微软雅黑" w:eastAsia="微软雅黑"/>
                <w:sz w:val="18"/>
              </w:rPr>
              <w:t>参数设置、放电启动、数据采集和模块切换。</w:t>
            </w:r>
          </w:p>
        </w:tc>
        <w:tc>
          <w:tcPr>
            <w:tcW w:type="dxa" w:w="2493"/>
            <w:vAlign w:val="center"/>
          </w:tcPr>
          <w:p>
            <w:r>
              <w:rPr>
                <w:rFonts w:ascii="微软雅黑" w:hAnsi="微软雅黑" w:eastAsia="微软雅黑"/>
                <w:sz w:val="18"/>
              </w:rPr>
              <w:t>15</w:t>
            </w:r>
          </w:p>
        </w:tc>
        <w:tc>
          <w:tcPr>
            <w:tcW w:type="dxa" w:w="2493"/>
            <w:vAlign w:val="center"/>
          </w:tcPr>
          <w:p>
            <w:r>
              <w:rPr>
                <w:rFonts w:ascii="微软雅黑" w:hAnsi="微软雅黑" w:eastAsia="微软雅黑"/>
                <w:sz w:val="18"/>
              </w:rPr>
              <w:t>步骤完整，实验过程可复现。</w:t>
            </w:r>
          </w:p>
        </w:tc>
      </w:tr>
      <w:tr>
        <w:tc>
          <w:tcPr>
            <w:tcW w:type="dxa" w:w="2493"/>
            <w:vAlign w:val="center"/>
          </w:tcPr>
          <w:p>
            <w:r>
              <w:rPr>
                <w:rFonts w:ascii="微软雅黑" w:hAnsi="微软雅黑" w:eastAsia="微软雅黑"/>
                <w:sz w:val="18"/>
              </w:rPr>
              <w:t>数据处理</w:t>
            </w:r>
          </w:p>
        </w:tc>
        <w:tc>
          <w:tcPr>
            <w:tcW w:type="dxa" w:w="2493"/>
            <w:vAlign w:val="center"/>
          </w:tcPr>
          <w:p>
            <w:r>
              <w:rPr>
                <w:rFonts w:ascii="微软雅黑" w:hAnsi="微软雅黑" w:eastAsia="微软雅黑"/>
                <w:sz w:val="18"/>
              </w:rPr>
              <w:t>曲线绘制、拟合、导出和关键参数读取。</w:t>
            </w:r>
          </w:p>
        </w:tc>
        <w:tc>
          <w:tcPr>
            <w:tcW w:type="dxa" w:w="2493"/>
            <w:vAlign w:val="center"/>
          </w:tcPr>
          <w:p>
            <w:r>
              <w:rPr>
                <w:rFonts w:ascii="微软雅黑" w:hAnsi="微软雅黑" w:eastAsia="微软雅黑"/>
                <w:sz w:val="18"/>
              </w:rPr>
              <w:t>20</w:t>
            </w:r>
          </w:p>
        </w:tc>
        <w:tc>
          <w:tcPr>
            <w:tcW w:type="dxa" w:w="2493"/>
            <w:vAlign w:val="center"/>
          </w:tcPr>
          <w:p>
            <w:r>
              <w:rPr>
                <w:rFonts w:ascii="微软雅黑" w:hAnsi="微软雅黑" w:eastAsia="微软雅黑"/>
                <w:sz w:val="18"/>
              </w:rPr>
              <w:t>单位完整，图表规范，计算过程清楚。</w:t>
            </w:r>
          </w:p>
        </w:tc>
      </w:tr>
      <w:tr>
        <w:tc>
          <w:tcPr>
            <w:tcW w:type="dxa" w:w="2493"/>
            <w:vAlign w:val="center"/>
          </w:tcPr>
          <w:p>
            <w:r>
              <w:rPr>
                <w:rFonts w:ascii="微软雅黑" w:hAnsi="微软雅黑" w:eastAsia="微软雅黑"/>
                <w:sz w:val="18"/>
              </w:rPr>
              <w:t>结果分析</w:t>
            </w:r>
          </w:p>
        </w:tc>
        <w:tc>
          <w:tcPr>
            <w:tcW w:type="dxa" w:w="2493"/>
            <w:vAlign w:val="center"/>
          </w:tcPr>
          <w:p>
            <w:r>
              <w:rPr>
                <w:rFonts w:ascii="微软雅黑" w:hAnsi="微软雅黑" w:eastAsia="微软雅黑"/>
                <w:sz w:val="18"/>
              </w:rPr>
              <w:t>从数据解释放电类型、击穿规律、Te 和 ne。</w:t>
            </w:r>
          </w:p>
        </w:tc>
        <w:tc>
          <w:tcPr>
            <w:tcW w:type="dxa" w:w="2493"/>
            <w:vAlign w:val="center"/>
          </w:tcPr>
          <w:p>
            <w:r>
              <w:rPr>
                <w:rFonts w:ascii="微软雅黑" w:hAnsi="微软雅黑" w:eastAsia="微软雅黑"/>
                <w:sz w:val="18"/>
              </w:rPr>
              <w:t>20</w:t>
            </w:r>
          </w:p>
        </w:tc>
        <w:tc>
          <w:tcPr>
            <w:tcW w:type="dxa" w:w="2493"/>
            <w:vAlign w:val="center"/>
          </w:tcPr>
          <w:p>
            <w:r>
              <w:rPr>
                <w:rFonts w:ascii="微软雅黑" w:hAnsi="微软雅黑" w:eastAsia="微软雅黑"/>
                <w:sz w:val="18"/>
              </w:rPr>
              <w:t>结论与数据一致，能分析差异来源。</w:t>
            </w:r>
          </w:p>
        </w:tc>
      </w:tr>
      <w:tr>
        <w:tc>
          <w:tcPr>
            <w:tcW w:type="dxa" w:w="2493"/>
            <w:vAlign w:val="center"/>
          </w:tcPr>
          <w:p>
            <w:r>
              <w:rPr>
                <w:rFonts w:ascii="微软雅黑" w:hAnsi="微软雅黑" w:eastAsia="微软雅黑"/>
                <w:sz w:val="18"/>
              </w:rPr>
              <w:t>拓展反思</w:t>
            </w:r>
          </w:p>
        </w:tc>
        <w:tc>
          <w:tcPr>
            <w:tcW w:type="dxa" w:w="2493"/>
            <w:vAlign w:val="center"/>
          </w:tcPr>
          <w:p>
            <w:r>
              <w:rPr>
                <w:rFonts w:ascii="微软雅黑" w:hAnsi="微软雅黑" w:eastAsia="微软雅黑"/>
                <w:sz w:val="18"/>
              </w:rPr>
              <w:t>模型边界、环境修正、真实实验差异。</w:t>
            </w:r>
          </w:p>
        </w:tc>
        <w:tc>
          <w:tcPr>
            <w:tcW w:type="dxa" w:w="2493"/>
            <w:vAlign w:val="center"/>
          </w:tcPr>
          <w:p>
            <w:r>
              <w:rPr>
                <w:rFonts w:ascii="微软雅黑" w:hAnsi="微软雅黑" w:eastAsia="微软雅黑"/>
                <w:sz w:val="18"/>
              </w:rPr>
              <w:t>10</w:t>
            </w:r>
          </w:p>
        </w:tc>
        <w:tc>
          <w:tcPr>
            <w:tcW w:type="dxa" w:w="2493"/>
            <w:vAlign w:val="center"/>
          </w:tcPr>
          <w:p>
            <w:r>
              <w:rPr>
                <w:rFonts w:ascii="微软雅黑" w:hAnsi="微软雅黑" w:eastAsia="微软雅黑"/>
                <w:sz w:val="18"/>
              </w:rPr>
              <w:t>能指出虚拟仿真的优势与局限。</w:t>
            </w:r>
          </w:p>
        </w:tc>
      </w:tr>
    </w:tbl>
    <w:p>
      <w:pPr>
        <w:pStyle w:val="Heading2"/>
      </w:pPr>
      <w:r>
        <w:t>测评题</w:t>
      </w:r>
    </w:p>
    <w:p>
      <w:pPr>
        <w:spacing w:line="276" w:lineRule="auto" w:after="60"/>
        <w:ind w:left="170" w:hanging="170"/>
      </w:pPr>
      <w:r>
        <w:rPr>
          <w:rFonts w:ascii="微软雅黑" w:hAnsi="微软雅黑" w:eastAsia="微软雅黑"/>
          <w:sz w:val="21"/>
        </w:rPr>
        <w:t>1. 均匀电场中击穿电压主要与哪两个量的乘积有关？</w:t>
      </w:r>
    </w:p>
    <w:p>
      <w:pPr>
        <w:spacing w:line="276" w:lineRule="auto" w:after="60"/>
        <w:ind w:left="170" w:hanging="170"/>
      </w:pPr>
      <w:r>
        <w:rPr>
          <w:rFonts w:ascii="微软雅黑" w:hAnsi="微软雅黑" w:eastAsia="微软雅黑"/>
          <w:sz w:val="21"/>
        </w:rPr>
        <w:t>2. 帕邢曲线为什么不是单调曲线？</w:t>
      </w:r>
    </w:p>
    <w:p>
      <w:pPr>
        <w:spacing w:line="276" w:lineRule="auto" w:after="60"/>
        <w:ind w:left="170" w:hanging="170"/>
      </w:pPr>
      <w:r>
        <w:rPr>
          <w:rFonts w:ascii="微软雅黑" w:hAnsi="微软雅黑" w:eastAsia="微软雅黑"/>
          <w:sz w:val="21"/>
        </w:rPr>
        <w:t>3. 辉光放电和火花放电在持续时间、稳定性和电流特征上有何差异？</w:t>
      </w:r>
    </w:p>
    <w:p>
      <w:pPr>
        <w:spacing w:line="276" w:lineRule="auto" w:after="60"/>
        <w:ind w:left="170" w:hanging="170"/>
      </w:pPr>
      <w:r>
        <w:rPr>
          <w:rFonts w:ascii="微软雅黑" w:hAnsi="微软雅黑" w:eastAsia="微软雅黑"/>
          <w:sz w:val="21"/>
        </w:rPr>
        <w:t>4. 朗缪尔双探针 I-V 曲线如何用于估算电子温度？</w:t>
      </w:r>
    </w:p>
    <w:p>
      <w:pPr>
        <w:spacing w:line="276" w:lineRule="auto" w:after="60"/>
        <w:ind w:left="170" w:hanging="170"/>
      </w:pPr>
      <w:r>
        <w:rPr>
          <w:rFonts w:ascii="微软雅黑" w:hAnsi="微软雅黑" w:eastAsia="微软雅黑"/>
          <w:sz w:val="21"/>
        </w:rPr>
        <w:t>5. 温度升高时，空气密度变化会怎样影响击穿电压估算？</w:t>
      </w:r>
    </w:p>
    <w:sectPr w:rsidR="00FC693F" w:rsidRPr="0006063C" w:rsidSect="00034616">
      <w:headerReference w:type="default" r:id="rId18"/>
      <w:footerReference w:type="default" r:id="rId19"/>
      <w:pgSz w:w="12240" w:h="15840"/>
      <w:pgMar w:top="1020" w:right="1134" w:bottom="1020"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Footer"/>
      <w:jc w:val="center"/>
    </w:pPr>
    <w:r>
      <w:rPr>
        <w:rFonts w:ascii="微软雅黑" w:hAnsi="微软雅黑" w:eastAsia="微软雅黑"/>
        <w:color w:val="595959"/>
        <w:sz w:val="18"/>
      </w:rPr>
    </w:r>
    <w:r>
      <w:rPr>
        <w:rFonts w:ascii="微软雅黑" w:hAnsi="微软雅黑" w:eastAsia="微软雅黑"/>
        <w:color w:val="595959"/>
        <w:sz w:val="18"/>
      </w:rPr>
      <w:t xml:space="preserve">— </w:t>
      <w:fldChar w:fldCharType="begin"/>
      <w:instrText xml:space="preserve">PAGE</w:instrText>
      <w:fldChar w:fldCharType="end"/>
    </w:r>
    <w:r>
      <w:rPr>
        <w:rFonts w:ascii="微软雅黑" w:hAnsi="微软雅黑" w:eastAsia="微软雅黑"/>
        <w:color w:val="595959"/>
        <w:sz w:val="18"/>
      </w:rPr>
      <w:t xml:space="preserve"> —</w:t>
    </w:r>
  </w:p>
</w:ftr>
</file>

<file path=word/header1.xml><?xml version="1.0" encoding="utf-8"?>
<w:hd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Header"/>
      <w:jc w:val="center"/>
    </w:pPr>
    <w:r>
      <w:rPr>
        <w:rFonts w:ascii="微软雅黑" w:hAnsi="微软雅黑" w:eastAsia="微软雅黑"/>
        <w:color w:val="595959"/>
        <w:sz w:val="18"/>
      </w:rPr>
      <w:t>气体放电与等离子体虚拟实验平台</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rPr>
      <w:rFonts w:ascii="微软雅黑" w:hAnsi="微软雅黑" w:eastAsia="微软雅黑"/>
      <w:sz w:val="21"/>
    </w:rPr>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ascii="微软雅黑" w:hAnsi="微软雅黑" w:eastAsia="微软雅黑"/>
      <w:b/>
      <w:bCs/>
      <w:color w:val="1F4E79"/>
      <w:sz w:val="32"/>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ascii="微软雅黑" w:hAnsi="微软雅黑" w:eastAsia="微软雅黑"/>
      <w:b/>
      <w:bCs/>
      <w:color w:val="2F5597"/>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ascii="微软雅黑" w:hAnsi="微软雅黑" w:eastAsia="微软雅黑"/>
      <w:b/>
      <w:bCs/>
      <w:color w:val="1F4E79"/>
      <w:sz w:val="22"/>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rPr>
      <w:rFonts w:ascii="微软雅黑" w:hAnsi="微软雅黑" w:eastAsia="微软雅黑"/>
      <w:sz w:val="21"/>
    </w:r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rPr>
      <w:rFonts w:ascii="微软雅黑" w:hAnsi="微软雅黑" w:eastAsia="微软雅黑"/>
      <w:sz w:val="21"/>
    </w:r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png"/><Relationship Id="rId11" Type="http://schemas.openxmlformats.org/officeDocument/2006/relationships/image" Target="media/image3.jpe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header" Target="header1.xml"/><Relationship Id="rId1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