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Microsoft YaHei" w:hAnsi="Microsoft YaHei" w:eastAsia="微软雅黑"/>
          <w:b/>
          <w:color w:val="1F4E78"/>
          <w:sz w:val="44"/>
        </w:rPr>
        <w:t>帕邢定律验证实验报告</w:t>
      </w:r>
    </w:p>
    <w:p>
      <w:pPr>
        <w:spacing w:after="200"/>
        <w:jc w:val="center"/>
      </w:pPr>
      <w:r>
        <w:rPr>
          <w:rFonts w:ascii="Microsoft YaHei" w:hAnsi="Microsoft YaHei" w:eastAsia="微软雅黑"/>
          <w:color w:val="5A6978"/>
          <w:sz w:val="22"/>
        </w:rPr>
        <w:t>气体放电与等离子体综合实验仪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3480"/>
        <w:gridCol w:w="1200"/>
        <w:gridCol w:w="3480"/>
      </w:tblGrid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9"/>
              </w:rPr>
              <w:t>姓名</w:t>
            </w:r>
          </w:p>
        </w:tc>
        <w:tc>
          <w:tcPr>
            <w:tcW w:type="dxa" w:w="3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 w:val="0"/>
                <w:sz w:val="19"/>
              </w:rPr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9"/>
              </w:rPr>
              <w:t>学号</w:t>
            </w:r>
          </w:p>
        </w:tc>
        <w:tc>
          <w:tcPr>
            <w:tcW w:type="dxa" w:w="3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 w:val="0"/>
                <w:sz w:val="19"/>
              </w:rPr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9"/>
              </w:rPr>
              <w:t>班级</w:t>
            </w:r>
          </w:p>
        </w:tc>
        <w:tc>
          <w:tcPr>
            <w:tcW w:type="dxa" w:w="3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 w:val="0"/>
                <w:sz w:val="19"/>
              </w:rPr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9"/>
              </w:rPr>
              <w:t>实验日期</w:t>
            </w:r>
          </w:p>
        </w:tc>
        <w:tc>
          <w:tcPr>
            <w:tcW w:type="dxa" w:w="3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 w:val="0"/>
                <w:sz w:val="19"/>
              </w:rPr>
            </w:r>
          </w:p>
        </w:tc>
      </w:tr>
    </w:tbl>
    <w:p>
      <w:pPr>
        <w:spacing w:before="200" w:after="100"/>
      </w:pPr>
      <w:r>
        <w:rPr>
          <w:rFonts w:ascii="Microsoft YaHei" w:hAnsi="Microsoft YaHei" w:eastAsia="微软雅黑"/>
          <w:b/>
          <w:color w:val="1F4E78"/>
          <w:sz w:val="28"/>
        </w:rPr>
        <w:t>一、实验目的</w:t>
      </w:r>
    </w:p>
    <w:p>
      <w:pPr>
        <w:spacing w:after="80"/>
      </w:pPr>
      <w:r>
        <w:rPr>
          <w:rFonts w:ascii="Microsoft YaHei" w:hAnsi="Microsoft YaHei" w:eastAsia="微软雅黑"/>
          <w:color w:val="1F374B"/>
          <w:sz w:val="21"/>
        </w:rPr>
        <w:t>说明本实验需要验证的规律，以及气压 p、极间距 d、击穿电压 Ub 之间的关系。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200" w:after="100"/>
      </w:pPr>
      <w:r>
        <w:rPr>
          <w:rFonts w:ascii="Microsoft YaHei" w:hAnsi="Microsoft YaHei" w:eastAsia="微软雅黑"/>
          <w:b/>
          <w:color w:val="1F4E78"/>
          <w:sz w:val="28"/>
        </w:rPr>
        <w:t>二、实验原理</w:t>
      </w:r>
    </w:p>
    <w:p>
      <w:pPr>
        <w:spacing w:after="80"/>
      </w:pPr>
      <w:r>
        <w:rPr>
          <w:rFonts w:ascii="Microsoft YaHei" w:hAnsi="Microsoft YaHei" w:eastAsia="微软雅黑"/>
          <w:color w:val="1F374B"/>
          <w:sz w:val="21"/>
        </w:rPr>
        <w:t>简述气体击穿过程和帕邢定律，写出所采用的关系式并说明各物理量含义。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200" w:after="100"/>
      </w:pPr>
      <w:r>
        <w:rPr>
          <w:rFonts w:ascii="Microsoft YaHei" w:hAnsi="Microsoft YaHei" w:eastAsia="微软雅黑"/>
          <w:b/>
          <w:color w:val="1F4E78"/>
          <w:sz w:val="28"/>
        </w:rPr>
        <w:t>三、实验条件与步骤</w:t>
      </w:r>
    </w:p>
    <w:p>
      <w:pPr>
        <w:spacing w:after="80"/>
      </w:pPr>
      <w:r>
        <w:rPr>
          <w:rFonts w:ascii="Microsoft YaHei" w:hAnsi="Microsoft YaHei" w:eastAsia="微软雅黑"/>
          <w:color w:val="1F374B"/>
          <w:sz w:val="21"/>
        </w:rPr>
        <w:t>记录电极类型、环境条件、仪器设置及操作流程。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200" w:after="100"/>
      </w:pPr>
      <w:r>
        <w:rPr>
          <w:rFonts w:ascii="Microsoft YaHei" w:hAnsi="Microsoft YaHei" w:eastAsia="微软雅黑"/>
          <w:b/>
          <w:color w:val="1F4E78"/>
          <w:sz w:val="28"/>
        </w:rPr>
        <w:t>四、实验数据记录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720"/>
        <w:gridCol w:w="1560"/>
        <w:gridCol w:w="1560"/>
        <w:gridCol w:w="1560"/>
        <w:gridCol w:w="2040"/>
        <w:gridCol w:w="1920"/>
      </w:tblGrid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序号</w:t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气压 p / Pa</w:t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极间距 d / mm</w:t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pd / Pa·m</w:t>
            </w:r>
          </w:p>
        </w:tc>
        <w:tc>
          <w:tcPr>
            <w:tcW w:type="dxa" w:w="204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击穿电压 Ub / V</w:t>
            </w:r>
          </w:p>
        </w:tc>
        <w:tc>
          <w:tcPr>
            <w:tcW w:type="dxa" w:w="192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放电现象</w:t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9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9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9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9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9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9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9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9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9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9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</w:tbl>
    <w:p>
      <w:r>
        <w:br w:type="page"/>
      </w:r>
    </w:p>
    <w:p>
      <w:pPr>
        <w:spacing w:before="200" w:after="100"/>
      </w:pPr>
      <w:r>
        <w:rPr>
          <w:rFonts w:ascii="Microsoft YaHei" w:hAnsi="Microsoft YaHei" w:eastAsia="微软雅黑"/>
          <w:b/>
          <w:color w:val="1F4E78"/>
          <w:sz w:val="28"/>
        </w:rPr>
        <w:t>五、数据处理与曲线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FAFCFE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 w:val="0"/>
                <w:sz w:val="20"/>
              </w:rPr>
              <w:t>请粘贴或绘制 Ub-pd 曲线</w:t>
              <w:br/>
              <w:br/>
              <w:br/>
              <w:br/>
              <w:br/>
              <w:br/>
              <w:br/>
              <w:br/>
            </w:r>
          </w:p>
        </w:tc>
      </w:tr>
    </w:tbl>
    <w:p>
      <w:pPr>
        <w:spacing w:after="80"/>
      </w:pPr>
      <w:r>
        <w:rPr>
          <w:rFonts w:ascii="Microsoft YaHei" w:hAnsi="Microsoft YaHei" w:eastAsia="微软雅黑"/>
          <w:color w:val="1F374B"/>
          <w:sz w:val="21"/>
        </w:rPr>
        <w:t>根据曲线确定最小击穿电压及对应 pd，并分析曲线先下降后上升的原因。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200" w:after="100"/>
      </w:pPr>
      <w:r>
        <w:rPr>
          <w:rFonts w:ascii="Microsoft YaHei" w:hAnsi="Microsoft YaHei" w:eastAsia="微软雅黑"/>
          <w:b/>
          <w:color w:val="1F4E78"/>
          <w:sz w:val="28"/>
        </w:rPr>
        <w:t>六、误差分析</w:t>
      </w:r>
    </w:p>
    <w:p>
      <w:pPr>
        <w:spacing w:after="80"/>
      </w:pPr>
      <w:r>
        <w:rPr>
          <w:rFonts w:ascii="Microsoft YaHei" w:hAnsi="Microsoft YaHei" w:eastAsia="微软雅黑"/>
          <w:color w:val="1F374B"/>
          <w:sz w:val="21"/>
        </w:rPr>
        <w:t>从气压、极间距、电压读取、环境条件和操作过程等方面分析误差。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200" w:after="100"/>
      </w:pPr>
      <w:r>
        <w:rPr>
          <w:rFonts w:ascii="Microsoft YaHei" w:hAnsi="Microsoft YaHei" w:eastAsia="微软雅黑"/>
          <w:b/>
          <w:color w:val="1F4E78"/>
          <w:sz w:val="28"/>
        </w:rPr>
        <w:t>七、实验结论与反思</w:t>
      </w:r>
    </w:p>
    <w:p>
      <w:pPr>
        <w:spacing w:after="80"/>
      </w:pPr>
      <w:r>
        <w:rPr>
          <w:rFonts w:ascii="Microsoft YaHei" w:hAnsi="Microsoft YaHei" w:eastAsia="微软雅黑"/>
          <w:color w:val="1F374B"/>
          <w:sz w:val="21"/>
        </w:rPr>
        <w:t>总结实验规律、实验现象及改进建议。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微软雅黑"/>
        <w:color w:val="78828C"/>
        <w:sz w:val="16"/>
      </w:rPr>
      <w:t>实验报告模板（请填写实验数据与分析结果）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Microsoft YaHei" w:hAnsi="Microsoft YaHei" w:eastAsia="微软雅黑"/>
        <w:color w:val="6E7D8C"/>
        <w:sz w:val="17"/>
      </w:rPr>
      <w:t>气体放电与等离子体虚拟实验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Microsoft YaHei" w:hAnsi="Microsoft YaHe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